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8xku17va2gr" w:id="0"/>
      <w:bookmarkEnd w:id="0"/>
      <w:r w:rsidDel="00000000" w:rsidR="00000000" w:rsidRPr="00000000">
        <w:rPr>
          <w:rtl w:val="0"/>
        </w:rPr>
        <w:t xml:space="preserve">Early Prediction of Breast Cancer Malignancy Using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Your Name</w:t>
        <w:br w:type="textWrapping"/>
      </w:r>
      <w:r w:rsidDel="00000000" w:rsidR="00000000" w:rsidRPr="00000000">
        <w:rPr>
          <w:b w:val="1"/>
          <w:rtl w:val="0"/>
        </w:rPr>
        <w:t xml:space="preserve">Course:</w:t>
      </w:r>
      <w:r w:rsidDel="00000000" w:rsidR="00000000" w:rsidRPr="00000000">
        <w:rPr>
          <w:rtl w:val="0"/>
        </w:rPr>
        <w:t xml:space="preserve"> Week 8 Final Project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August 20, 2025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d8eeaeeheza3" w:id="1"/>
      <w:bookmarkEnd w:id="1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project develops and evaluates supervised learning models to predict breast cancer malignancy from diagnostic features in the </w:t>
      </w:r>
      <w:r w:rsidDel="00000000" w:rsidR="00000000" w:rsidRPr="00000000">
        <w:rPr>
          <w:b w:val="1"/>
          <w:rtl w:val="0"/>
        </w:rPr>
        <w:t xml:space="preserve">Breast Cancer Wisconsin (Diagnostic)</w:t>
      </w:r>
      <w:r w:rsidDel="00000000" w:rsidR="00000000" w:rsidRPr="00000000">
        <w:rPr>
          <w:rtl w:val="0"/>
        </w:rPr>
        <w:t xml:space="preserve"> dataset. We benchmark Logistic Regression, Random Forest, and Gradient Boosting using a stratified 80/20 split and five-fold cross-validation for hyperparameter tuning. The best model—selected by ROC–AUC—achieves strong discrimination and favorable precision–recall performance on the test set. A simple Streamlit app demonstrates a path to deployment and clinician-facing decision support. Ethical considerations regarding bias, interpretability, and clinical workflow integration are discussed.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jfshtoh4tblv" w:id="2"/>
      <w:bookmarkEnd w:id="2"/>
      <w:r w:rsidDel="00000000" w:rsidR="00000000" w:rsidRPr="00000000">
        <w:rPr>
          <w:rtl w:val="0"/>
        </w:rPr>
        <w:t xml:space="preserve">1. Data Collection and Preprocessing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utilize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sklearn.datasets.load_breast_cancer</w:t>
      </w:r>
      <w:r w:rsidDel="00000000" w:rsidR="00000000" w:rsidRPr="00000000">
        <w:rPr>
          <w:rtl w:val="0"/>
        </w:rPr>
        <w:t xml:space="preserve">, which provides 569 patient records with 30 numeric features derived from digitized images of fine needle aspirates of breast mass tissue. The target is binary (0 = malignant, 1 = benign). The dataset is loaded in code and exported to a transparent CSV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data/raw/breast_cancer.csv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Cleaning:</w:t>
      </w:r>
      <w:r w:rsidDel="00000000" w:rsidR="00000000" w:rsidRPr="00000000">
        <w:rPr>
          <w:rtl w:val="0"/>
        </w:rPr>
        <w:t xml:space="preserve"> The dataset contains no missing values. We keep all numeric features and apply feature scaling only within cross-validation folds where required (via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</w:t>
      </w:r>
      <w:r w:rsidDel="00000000" w:rsidR="00000000" w:rsidRPr="00000000">
        <w:rPr>
          <w:rtl w:val="0"/>
        </w:rPr>
        <w:t xml:space="preserve">) to prevent leakage.</w:t>
        <w:br w:type="textWrapping"/>
      </w:r>
      <w:r w:rsidDel="00000000" w:rsidR="00000000" w:rsidRPr="00000000">
        <w:rPr>
          <w:b w:val="1"/>
          <w:rtl w:val="0"/>
        </w:rPr>
        <w:t xml:space="preserve">EDA (high level):</w:t>
      </w:r>
      <w:r w:rsidDel="00000000" w:rsidR="00000000" w:rsidRPr="00000000">
        <w:rPr>
          <w:rtl w:val="0"/>
        </w:rPr>
        <w:t xml:space="preserve"> Benign cases are more frequent than malignant. Many features (e.g., mean radius, texture, perimeter, concavity) show different distributions by class and moderate-to-strong correlations with the label.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qy9q296gq6yh" w:id="3"/>
      <w:bookmarkEnd w:id="3"/>
      <w:r w:rsidDel="00000000" w:rsidR="00000000" w:rsidRPr="00000000">
        <w:rPr>
          <w:rtl w:val="0"/>
        </w:rPr>
        <w:t xml:space="preserve">2. Feature Engineering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 30 standardized features are used as-is. For linear models, we apply </w:t>
      </w:r>
      <w:r w:rsidDel="00000000" w:rsidR="00000000" w:rsidRPr="00000000">
        <w:rPr>
          <w:b w:val="1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</w:t>
      </w:r>
      <w:r w:rsidDel="00000000" w:rsidR="00000000" w:rsidRPr="00000000">
        <w:rPr>
          <w:rtl w:val="0"/>
        </w:rPr>
        <w:t xml:space="preserve">. Tree-based models (Random Forest, Gradient Boosting) operate on raw features. No manual polynomial features are added to avoid overfitting on this medium-sized dataset. Feature importance and model coefficients (optional extension) can provide interpretability.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vfbfv0wfqrq6" w:id="4"/>
      <w:bookmarkEnd w:id="4"/>
      <w:r w:rsidDel="00000000" w:rsidR="00000000" w:rsidRPr="00000000">
        <w:rPr>
          <w:rtl w:val="0"/>
        </w:rPr>
        <w:t xml:space="preserve">3. Model Selection and Training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evaluate three models: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(balanced class weights,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liblinear</w:t>
      </w:r>
      <w:r w:rsidDel="00000000" w:rsidR="00000000" w:rsidRPr="00000000">
        <w:rPr>
          <w:rtl w:val="0"/>
        </w:rPr>
        <w:t xml:space="preserve">), tuning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 ∈ {0.1, 1.0, 3.0, 10.0}</w:t>
      </w:r>
      <w:r w:rsidDel="00000000" w:rsidR="00000000" w:rsidRPr="00000000">
        <w:rPr>
          <w:rtl w:val="0"/>
        </w:rPr>
        <w:t xml:space="preserve"> with scaling.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 (300 trees), tuning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max_depth ∈ {None, 4, 8, 16}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min_samples_leaf ∈ {1, 2, 4}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Gradient Boosting</w:t>
      </w:r>
      <w:r w:rsidDel="00000000" w:rsidR="00000000" w:rsidRPr="00000000">
        <w:rPr>
          <w:rtl w:val="0"/>
        </w:rPr>
        <w:t xml:space="preserve">, tuning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n_estimators ∈ {100, 300}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learning_rate ∈ {0.03, 0.1}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max_depth ∈ {2, 3}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use </w:t>
      </w:r>
      <w:r w:rsidDel="00000000" w:rsidR="00000000" w:rsidRPr="00000000">
        <w:rPr>
          <w:b w:val="1"/>
          <w:rtl w:val="0"/>
        </w:rPr>
        <w:t xml:space="preserve">StratifiedKFold(5)</w:t>
      </w:r>
      <w:r w:rsidDel="00000000" w:rsidR="00000000" w:rsidRPr="00000000">
        <w:rPr>
          <w:rtl w:val="0"/>
        </w:rPr>
        <w:t xml:space="preserve"> for cross-validation and </w:t>
      </w:r>
      <w:r w:rsidDel="00000000" w:rsidR="00000000" w:rsidRPr="00000000">
        <w:rPr>
          <w:b w:val="1"/>
          <w:rtl w:val="0"/>
        </w:rPr>
        <w:t xml:space="preserve">ROC–AUC</w:t>
      </w:r>
      <w:r w:rsidDel="00000000" w:rsidR="00000000" w:rsidRPr="00000000">
        <w:rPr>
          <w:rtl w:val="0"/>
        </w:rPr>
        <w:t xml:space="preserve"> as the model-selection metric. The dataset is split into </w:t>
      </w:r>
      <w:r w:rsidDel="00000000" w:rsidR="00000000" w:rsidRPr="00000000">
        <w:rPr>
          <w:b w:val="1"/>
          <w:rtl w:val="0"/>
        </w:rPr>
        <w:t xml:space="preserve">80% training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20% testing</w:t>
      </w:r>
      <w:r w:rsidDel="00000000" w:rsidR="00000000" w:rsidRPr="00000000">
        <w:rPr>
          <w:rtl w:val="0"/>
        </w:rPr>
        <w:t xml:space="preserve"> with stratification and fixed random seed for reproducibility.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fmf3vqknmywc" w:id="5"/>
      <w:bookmarkEnd w:id="5"/>
      <w:r w:rsidDel="00000000" w:rsidR="00000000" w:rsidRPr="00000000">
        <w:rPr>
          <w:rtl w:val="0"/>
        </w:rPr>
        <w:t xml:space="preserve">4. Model Evaluation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Evaluation on the hold-out test set uses: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ROC–AUC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PR–AUC (Average Precision)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Classification report</w:t>
      </w:r>
      <w:r w:rsidDel="00000000" w:rsidR="00000000" w:rsidRPr="00000000">
        <w:rPr>
          <w:rtl w:val="0"/>
        </w:rPr>
        <w:t xml:space="preserve"> (precision, recall, F1 for each class)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Confusion matrix</w:t>
      </w:r>
      <w:r w:rsidDel="00000000" w:rsidR="00000000" w:rsidRPr="00000000">
        <w:rPr>
          <w:rtl w:val="0"/>
        </w:rPr>
        <w:t xml:space="preserve"> (saved as heatmap)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ROC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 curves</w:t>
      </w:r>
      <w:r w:rsidDel="00000000" w:rsidR="00000000" w:rsidRPr="00000000">
        <w:rPr>
          <w:rtl w:val="0"/>
        </w:rPr>
        <w:t xml:space="preserve"> saved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training script saves per-model CV results, the chosen hyperparameters, and test metrics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reports/metrics.json</w:t>
      </w:r>
      <w:r w:rsidDel="00000000" w:rsidR="00000000" w:rsidRPr="00000000">
        <w:rPr>
          <w:rtl w:val="0"/>
        </w:rPr>
        <w:t xml:space="preserve">, and persists the </w:t>
      </w:r>
      <w:r w:rsidDel="00000000" w:rsidR="00000000" w:rsidRPr="00000000">
        <w:rPr>
          <w:b w:val="1"/>
          <w:rtl w:val="0"/>
        </w:rPr>
        <w:t xml:space="preserve">best model</w:t>
      </w:r>
      <w:r w:rsidDel="00000000" w:rsidR="00000000" w:rsidRPr="00000000">
        <w:rPr>
          <w:rtl w:val="0"/>
        </w:rPr>
        <w:t xml:space="preserve"> 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joblib</w:t>
      </w:r>
      <w:r w:rsidDel="00000000" w:rsidR="00000000" w:rsidRPr="00000000">
        <w:rPr>
          <w:rtl w:val="0"/>
        </w:rPr>
        <w:t xml:space="preserve"> pipeline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models/best_model.joblib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wo0egstg1v5t" w:id="6"/>
      <w:bookmarkEnd w:id="6"/>
      <w:r w:rsidDel="00000000" w:rsidR="00000000" w:rsidRPr="00000000">
        <w:rPr>
          <w:rtl w:val="0"/>
        </w:rPr>
        <w:t xml:space="preserve">5. Deployment and Monitoring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 include a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app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app/streamlit_app.py</w:t>
      </w:r>
      <w:r w:rsidDel="00000000" w:rsidR="00000000" w:rsidRPr="00000000">
        <w:rPr>
          <w:rtl w:val="0"/>
        </w:rPr>
        <w:t xml:space="preserve">) that loads the saved pipeline and provides a clinician-style UI for entering feature values to obtain a prediction and benign probability.</w:t>
        <w:br w:type="textWrapping"/>
      </w:r>
      <w:r w:rsidDel="00000000" w:rsidR="00000000" w:rsidRPr="00000000">
        <w:rPr>
          <w:b w:val="1"/>
          <w:rtl w:val="0"/>
        </w:rPr>
        <w:t xml:space="preserve">Monitoring plan:</w:t>
      </w:r>
      <w:r w:rsidDel="00000000" w:rsidR="00000000" w:rsidRPr="00000000">
        <w:rPr>
          <w:rtl w:val="0"/>
        </w:rPr>
        <w:t xml:space="preserve"> In production, log inputs, outputs, and data drift indicators. Track thresholds for </w:t>
      </w:r>
      <w:r w:rsidDel="00000000" w:rsidR="00000000" w:rsidRPr="00000000">
        <w:rPr>
          <w:b w:val="1"/>
          <w:rtl w:val="0"/>
        </w:rPr>
        <w:t xml:space="preserve">calibration drift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class balance shift</w:t>
      </w:r>
      <w:r w:rsidDel="00000000" w:rsidR="00000000" w:rsidRPr="00000000">
        <w:rPr>
          <w:rtl w:val="0"/>
        </w:rPr>
        <w:t xml:space="preserve">, and performance metrics (AUROC, F1). Establish periodic re-training with newly labeled cases and bias audits across relevant subgroups (e.g., age ranges).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9om8lqsfx5fb" w:id="7"/>
      <w:bookmarkEnd w:id="7"/>
      <w:r w:rsidDel="00000000" w:rsidR="00000000" w:rsidRPr="00000000">
        <w:rPr>
          <w:rtl w:val="0"/>
        </w:rPr>
        <w:t xml:space="preserve">6. Ethical Considerations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Bias &amp; Fairness:</w:t>
      </w:r>
      <w:r w:rsidDel="00000000" w:rsidR="00000000" w:rsidRPr="00000000">
        <w:rPr>
          <w:rtl w:val="0"/>
        </w:rPr>
        <w:t xml:space="preserve"> Even high-performing models can yield disparate error rates across subgroups. Evaluate </w:t>
      </w:r>
      <w:r w:rsidDel="00000000" w:rsidR="00000000" w:rsidRPr="00000000">
        <w:rPr>
          <w:i w:val="1"/>
          <w:rtl w:val="0"/>
        </w:rPr>
        <w:t xml:space="preserve">equalized odds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PPV parity</w:t>
      </w:r>
      <w:r w:rsidDel="00000000" w:rsidR="00000000" w:rsidRPr="00000000">
        <w:rPr>
          <w:rtl w:val="0"/>
        </w:rPr>
        <w:t xml:space="preserve"> when subgroup labels are available.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Explainability:</w:t>
      </w:r>
      <w:r w:rsidDel="00000000" w:rsidR="00000000" w:rsidRPr="00000000">
        <w:rPr>
          <w:rtl w:val="0"/>
        </w:rPr>
        <w:t xml:space="preserve"> Provide global (feature importance) and local (SHAP/LIME) explanations to clinicians.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Clinical Safety:</w:t>
      </w:r>
      <w:r w:rsidDel="00000000" w:rsidR="00000000" w:rsidRPr="00000000">
        <w:rPr>
          <w:rtl w:val="0"/>
        </w:rPr>
        <w:t xml:space="preserve"> Predictions are </w:t>
      </w:r>
      <w:r w:rsidDel="00000000" w:rsidR="00000000" w:rsidRPr="00000000">
        <w:rPr>
          <w:b w:val="1"/>
          <w:rtl w:val="0"/>
        </w:rPr>
        <w:t xml:space="preserve">decision support</w:t>
      </w:r>
      <w:r w:rsidDel="00000000" w:rsidR="00000000" w:rsidRPr="00000000">
        <w:rPr>
          <w:rtl w:val="0"/>
        </w:rPr>
        <w:t xml:space="preserve">, not diagnosis. Human-in-the-loop review and clearly communicated uncertainty are mandatory.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Privacy:</w:t>
      </w:r>
      <w:r w:rsidDel="00000000" w:rsidR="00000000" w:rsidRPr="00000000">
        <w:rPr>
          <w:rtl w:val="0"/>
        </w:rPr>
        <w:t xml:space="preserve"> Use de-identified data, enforce access control, and comply with HIPAA/GDPR where applicable.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Accountability:</w:t>
      </w:r>
      <w:r w:rsidDel="00000000" w:rsidR="00000000" w:rsidRPr="00000000">
        <w:rPr>
          <w:rtl w:val="0"/>
        </w:rPr>
        <w:t xml:space="preserve"> Version and audit models; maintain incident response for model failures.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wndxyl2hay4j" w:id="8"/>
      <w:bookmarkEnd w:id="8"/>
      <w:r w:rsidDel="00000000" w:rsidR="00000000" w:rsidRPr="00000000">
        <w:rPr>
          <w:rtl w:val="0"/>
        </w:rPr>
        <w:t xml:space="preserve">Results (Illustrative Summary)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On typical runs (seeded), Gradient Boosting and Random Forest often match or exceed Logistic Regression in ROC–AUC. Final metrics for the selected best model (exact values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reports/metrics.json</w:t>
      </w:r>
      <w:r w:rsidDel="00000000" w:rsidR="00000000" w:rsidRPr="00000000">
        <w:rPr>
          <w:rtl w:val="0"/>
        </w:rPr>
        <w:t xml:space="preserve">) generally show: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ROC–AUC:</w:t>
      </w:r>
      <w:r w:rsidDel="00000000" w:rsidR="00000000" w:rsidRPr="00000000">
        <w:rPr>
          <w:rtl w:val="0"/>
        </w:rPr>
        <w:t xml:space="preserve"> ~0.98–0.99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Average Precision:</w:t>
      </w:r>
      <w:r w:rsidDel="00000000" w:rsidR="00000000" w:rsidRPr="00000000">
        <w:rPr>
          <w:rtl w:val="0"/>
        </w:rPr>
        <w:t xml:space="preserve"> ~0.98–0.99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F1 (malignant):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High (≥0.95) with balanced precision/recall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Because the dataset is moderately imbalanced toward benign, </w:t>
      </w:r>
      <w:r w:rsidDel="00000000" w:rsidR="00000000" w:rsidRPr="00000000">
        <w:rPr>
          <w:b w:val="1"/>
          <w:rtl w:val="0"/>
        </w:rPr>
        <w:t xml:space="preserve">PR–AUC</w:t>
      </w:r>
      <w:r w:rsidDel="00000000" w:rsidR="00000000" w:rsidRPr="00000000">
        <w:rPr>
          <w:rtl w:val="0"/>
        </w:rPr>
        <w:t xml:space="preserve"> complements ROC–AUC to ensure malignant-case sensitivity remains high.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2k0sdo2b16u3" w:id="9"/>
      <w:bookmarkEnd w:id="9"/>
      <w:r w:rsidDel="00000000" w:rsidR="00000000" w:rsidRPr="00000000">
        <w:rPr>
          <w:rtl w:val="0"/>
        </w:rPr>
        <w:t xml:space="preserve">Limitations and Future Work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dataset is relatively small and from a single source—external validity is limited.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Incorporate </w:t>
      </w:r>
      <w:r w:rsidDel="00000000" w:rsidR="00000000" w:rsidRPr="00000000">
        <w:rPr>
          <w:b w:val="1"/>
          <w:rtl w:val="0"/>
        </w:rPr>
        <w:t xml:space="preserve">calibration</w:t>
      </w:r>
      <w:r w:rsidDel="00000000" w:rsidR="00000000" w:rsidRPr="00000000">
        <w:rPr>
          <w:rtl w:val="0"/>
        </w:rPr>
        <w:t xml:space="preserve"> (Platt scaling/Isotonic regression) to improve probability estimates.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model interpretability</w:t>
      </w:r>
      <w:r w:rsidDel="00000000" w:rsidR="00000000" w:rsidRPr="00000000">
        <w:rPr>
          <w:rtl w:val="0"/>
        </w:rPr>
        <w:t xml:space="preserve"> components (SHAP) and </w:t>
      </w:r>
      <w:r w:rsidDel="00000000" w:rsidR="00000000" w:rsidRPr="00000000">
        <w:rPr>
          <w:b w:val="1"/>
          <w:rtl w:val="0"/>
        </w:rPr>
        <w:t xml:space="preserve">uncertainty estimates</w:t>
      </w:r>
      <w:r w:rsidDel="00000000" w:rsidR="00000000" w:rsidRPr="00000000">
        <w:rPr>
          <w:rtl w:val="0"/>
        </w:rPr>
        <w:t xml:space="preserve"> (e.g., conformal prediction).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Integrate real-world data ingestion, monitoring, and alerts for a production setting.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w4wemgw2akam" w:id="10"/>
      <w:bookmarkEnd w:id="10"/>
      <w:r w:rsidDel="00000000" w:rsidR="00000000" w:rsidRPr="00000000">
        <w:rPr>
          <w:rtl w:val="0"/>
        </w:rPr>
        <w:t xml:space="preserve">Reproducibility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Deterministic splits via fixed random seed.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 code and configuration saved in this repo; models and metrics are persisted to disk.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Dataset is exported to CSV for transparency.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h4iombzexrw2" w:id="11"/>
      <w:bookmarkEnd w:id="11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Street, W. N., Wolberg, W. H., &amp; Mangasarian, O. L. (1993). Nuclear feature extraction for breast tumor diagnosis. </w:t>
      </w:r>
      <w:r w:rsidDel="00000000" w:rsidR="00000000" w:rsidRPr="00000000">
        <w:rPr>
          <w:i w:val="1"/>
          <w:rtl w:val="0"/>
        </w:rPr>
        <w:t xml:space="preserve">IS&amp;T/SPIE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Dua, D., &amp; Graff, C. (2019). UCI Machine Learning Repository. Breast Cancer Wisconsin (Diagnostic). University of California, Irvine.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Pedregosa, F., Varoquaux, G., Gramfort, A., Michel, V., et al. (2011). Scikit-learn: Machine learning in Python. </w:t>
      </w:r>
      <w:r w:rsidDel="00000000" w:rsidR="00000000" w:rsidRPr="00000000">
        <w:rPr>
          <w:i w:val="1"/>
          <w:rtl w:val="0"/>
        </w:rPr>
        <w:t xml:space="preserve">Journal of Machine Learning Research</w:t>
      </w:r>
      <w:r w:rsidDel="00000000" w:rsidR="00000000" w:rsidRPr="00000000">
        <w:rPr>
          <w:rtl w:val="0"/>
        </w:rPr>
        <w:t xml:space="preserve">, 12, 2825–2830.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