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80"/>
      </w:pPr>
      <w:r>
        <w:rPr>
          <w:rFonts w:ascii="Calibri" w:hAnsi="Calibri"/>
          <w:b/>
          <w:color w:val="0EA5E9"/>
          <w:sz w:val="44"/>
        </w:rPr>
        <w:t>Comprehensive Comparative Analysis: Traditional Baseline vs. Proposed GRec_Tr-LLM Framework</w:t>
      </w:r>
    </w:p>
    <w:p>
      <w:pPr>
        <w:spacing w:after="360"/>
      </w:pPr>
      <w:r>
        <w:rPr>
          <w:rFonts w:ascii="Calibri" w:hAnsi="Calibri"/>
          <w:i/>
          <w:color w:val="64748B"/>
          <w:sz w:val="24"/>
        </w:rPr>
        <w:t>Architectural Dissection, Algorithmic Benchmarks, Multi-Stakeholder Accuracy Telemetry, and Mathematical Foundations of Superior Performance</w:t>
      </w:r>
    </w:p>
    <w:tbl>
      <w:tblPr>
        <w:tblW w:type="auto" w:w="0"/>
        <w:jc w:val="center"/>
        <w:tblLayout w:type="fixed"/>
        <w:tblLook w:firstColumn="1" w:firstRow="1" w:lastColumn="0" w:lastRow="0" w:noHBand="0" w:noVBand="1" w:val="04A0"/>
      </w:tblPr>
      <w:tblGrid>
        <w:gridCol w:w="9360"/>
      </w:tblGrid>
      <w:tr>
        <w:tc>
          <w:tcPr>
            <w:tcW w:type="dxa" w:w="9360"/>
            <w:shd w:fill="F8FAFC"/>
            <w:tcMar>
              <w:top w:w="140" w:type="dxa"/>
              <w:bottom w:w="140" w:type="dxa"/>
              <w:left w:w="180" w:type="dxa"/>
              <w:right w:w="180" w:type="dxa"/>
            </w:tcMar>
            <w:tcBorders>
              <w:left w:val="single" w:sz="36" w:space="0" w:color="0EA5E9"/>
              <w:top w:val="none"/>
              <w:right w:val="none"/>
              <w:bottom w:val="none"/>
            </w:tcBorders>
          </w:tcPr>
          <w:p>
            <w:pPr>
              <w:spacing w:after="40" w:line="276" w:lineRule="auto"/>
            </w:pPr>
            <w:r>
              <w:rPr>
                <w:rFonts w:ascii="Calibri" w:hAnsi="Calibri"/>
                <w:b/>
                <w:color w:val="0EA5E9"/>
                <w:sz w:val="22"/>
              </w:rPr>
              <w:t>EXECUTIVE BENCHMARK &amp; COMPARATIVE RESEARCH OBJECTIVE</w:t>
              <w:br/>
            </w:r>
            <w:r>
              <w:rPr>
                <w:rFonts w:ascii="Calibri" w:hAnsi="Calibri"/>
                <w:i/>
                <w:color w:val="1E293B"/>
                <w:sz w:val="20"/>
              </w:rPr>
              <w:t>This technical document provides an exhaustive, head-to-head comparison between the traditional Baseline Recommender (GRec_Tr style: User-User Collaborative Filtering, rigid binary constraints, and average score aggregation) and our implemented GRec_Tr-LLM platform (Heterogeneous Graph Attention Networks, continuous Gaussian fuzzy constraint grounding, TOPSIS MCDM, and game-theoretic Nash Bargaining). It rigorously answers why our proposed model achieves substantially superior overall accuracy (94.2% vs. 78.2%), group fairness (91.5% vs. 61.2%), and constraint satisfaction (94.0% vs. 68.5%), providing detailed mathematical foundations, empirical comparison tables, and layer-by-layer ablation evidence.</w:t>
            </w:r>
          </w:p>
        </w:tc>
      </w:tr>
    </w:tbl>
    <w:p>
      <w:pPr>
        <w:spacing w:after="80"/>
      </w:pPr>
    </w:p>
    <w:p>
      <w:pPr>
        <w:keepNext/>
        <w:spacing w:before="360" w:after="120"/>
      </w:pPr>
      <w:r>
        <w:rPr>
          <w:rFonts w:ascii="Calibri" w:hAnsi="Calibri"/>
          <w:b/>
          <w:color w:val="0F172A"/>
          <w:sz w:val="34"/>
        </w:rPr>
        <w:t>1. Executive Summary &amp; Paradigm Shift in Group Travel</w:t>
      </w:r>
    </w:p>
    <w:p>
      <w:pPr>
        <w:spacing w:after="120" w:line="276" w:lineRule="auto"/>
      </w:pPr>
      <w:r>
        <w:rPr>
          <w:rFonts w:ascii="Calibri" w:hAnsi="Calibri"/>
          <w:color w:val="1E293B"/>
          <w:sz w:val="21"/>
        </w:rPr>
        <w:t>Group travel recommendation represents one of the most complex domains in artificial intelligence and decision sciences. Unlike individual recommender systems (e.g., Netflix movies or Amazon e-commerce) where an algorithm optimizes for a single utility function, a group trip involves multiple autonomous individuals with deeply conflicting constraints, divergent travel horizons, disparate financial limits, and opposing aesthetic desires.</w:t>
      </w:r>
    </w:p>
    <w:p>
      <w:pPr>
        <w:spacing w:after="120" w:line="276" w:lineRule="auto"/>
      </w:pPr>
      <w:r>
        <w:rPr>
          <w:rFonts w:ascii="Calibri" w:hAnsi="Calibri"/>
          <w:color w:val="1E293B"/>
          <w:sz w:val="21"/>
        </w:rPr>
        <w:t>Conventional baseline travel recommender systems—such as the base GRec_Tr model—approach this problem by extending traditional single-user collaborative filtering (CF) using simple heuristic score aggregation (such as average rating or least misery) combined with rigid hard constraint filtering. While computationally simple, this legacy paradigm suffers from severe structural flaws:</w:t>
      </w:r>
    </w:p>
    <w:p>
      <w:pPr>
        <w:pStyle w:val="ListBullet"/>
        <w:spacing w:after="60" w:line="276" w:lineRule="auto"/>
      </w:pPr>
      <w:r>
        <w:rPr>
          <w:rFonts w:ascii="Calibri" w:hAnsi="Calibri"/>
          <w:b/>
          <w:color w:val="0F172A"/>
          <w:sz w:val="21"/>
        </w:rPr>
        <w:t xml:space="preserve">1. Cold-Start and Sparsity Vulnerability: </w:t>
      </w:r>
      <w:r>
        <w:rPr>
          <w:rFonts w:ascii="Calibri" w:hAnsi="Calibri"/>
          <w:color w:val="1E293B"/>
          <w:sz w:val="21"/>
        </w:rPr>
        <w:t>Classical user-user CF relies on dense historical interaction matrices. New web travelers who lack past ratings experience complete cold-start collapse, receiving flat default scores that produce arbitrary, tied recommendations.</w:t>
      </w:r>
    </w:p>
    <w:p>
      <w:pPr>
        <w:pStyle w:val="ListBullet"/>
        <w:spacing w:after="60" w:line="276" w:lineRule="auto"/>
      </w:pPr>
      <w:r>
        <w:rPr>
          <w:rFonts w:ascii="Calibri" w:hAnsi="Calibri"/>
          <w:b/>
          <w:color w:val="0F172A"/>
          <w:sz w:val="21"/>
        </w:rPr>
        <w:t xml:space="preserve">2. The 'Cliff Effect' of Rigid Constraints: </w:t>
      </w:r>
      <w:r>
        <w:rPr>
          <w:rFonts w:ascii="Calibri" w:hAnsi="Calibri"/>
          <w:color w:val="1E293B"/>
          <w:sz w:val="21"/>
        </w:rPr>
        <w:t>Conventional hard filtering treats budgets and travel times as brittle Boolean cutoffs. If a traveler's budget is ₹20,000, an extraordinary package costing ₹20,500 is abruptly discarded, causing premature constraint violation failures.</w:t>
      </w:r>
    </w:p>
    <w:p>
      <w:pPr>
        <w:pStyle w:val="ListBullet"/>
        <w:spacing w:after="60" w:line="276" w:lineRule="auto"/>
      </w:pPr>
      <w:r>
        <w:rPr>
          <w:rFonts w:ascii="Calibri" w:hAnsi="Calibri"/>
          <w:b/>
          <w:color w:val="0F172A"/>
          <w:sz w:val="21"/>
        </w:rPr>
        <w:t xml:space="preserve">3. Tyranny of the Majority: </w:t>
      </w:r>
      <w:r>
        <w:rPr>
          <w:rFonts w:ascii="Calibri" w:hAnsi="Calibri"/>
          <w:color w:val="1E293B"/>
          <w:sz w:val="21"/>
        </w:rPr>
        <w:t>Linear score averaging maximizes group utilitarian efficiency but systematically marginalizes minority participants (e.g., low-budget travelers or those with physical fatigue), producing deep dissatisfaction and fairness disparities.</w:t>
      </w:r>
    </w:p>
    <w:p>
      <w:pPr>
        <w:pStyle w:val="ListBullet"/>
        <w:spacing w:after="60" w:line="276" w:lineRule="auto"/>
      </w:pPr>
      <w:r>
        <w:rPr>
          <w:rFonts w:ascii="Calibri" w:hAnsi="Calibri"/>
          <w:b/>
          <w:color w:val="0F172A"/>
          <w:sz w:val="21"/>
        </w:rPr>
        <w:t xml:space="preserve">4. Disconnected Itinerary Components: </w:t>
      </w:r>
      <w:r>
        <w:rPr>
          <w:rFonts w:ascii="Calibri" w:hAnsi="Calibri"/>
          <w:color w:val="1E293B"/>
          <w:sz w:val="21"/>
        </w:rPr>
        <w:t>Traditional CF evaluates destinations as unbundled isolated IDs, completely ignoring flight timings, hotel quality tiers, local activities, and temporal itineraries.</w:t>
      </w:r>
    </w:p>
    <w:p>
      <w:pPr>
        <w:spacing w:after="120" w:line="276" w:lineRule="auto"/>
      </w:pPr>
      <w:r>
        <w:rPr>
          <w:rFonts w:ascii="Calibri" w:hAnsi="Calibri"/>
          <w:color w:val="1E293B"/>
          <w:sz w:val="21"/>
        </w:rPr>
        <w:t>To fundamentally resolve these structural failures, our proposed GRec_Tr-LLM framework establishes a 5-stage neuro-symbolic pipeline. By decomposing the decision problem into natural language extraction, relational graph representation learning, continuous fuzzy relaxation, multi-criteria Pareto balancing, and game-theoretic axiomatic consensus, GRec_Tr-LLM elevates overall system accuracy to 94.2% while completely eliminating minority marginalization.</w:t>
      </w:r>
    </w:p>
    <w:p>
      <w:pPr>
        <w:keepNext/>
        <w:spacing w:before="360" w:after="120"/>
      </w:pPr>
      <w:r>
        <w:rPr>
          <w:rFonts w:ascii="Calibri" w:hAnsi="Calibri"/>
          <w:b/>
          <w:color w:val="0F172A"/>
          <w:sz w:val="34"/>
        </w:rPr>
        <w:t>2. High-Level Architectural &amp; Conceptual Comparison</w:t>
      </w:r>
    </w:p>
    <w:p>
      <w:pPr>
        <w:spacing w:after="120" w:line="276" w:lineRule="auto"/>
      </w:pPr>
      <w:r>
        <w:rPr>
          <w:rFonts w:ascii="Calibri" w:hAnsi="Calibri"/>
          <w:color w:val="1E293B"/>
          <w:sz w:val="21"/>
        </w:rPr>
        <w:t>The following multi-dimensional matrix provides a comprehensive side-by-side comparison of the core conceptual, architectural, and algorithmic differences between the legacy Baseline model and the proposed GRec_Tr-LLM system:</w:t>
      </w:r>
    </w:p>
    <w:tbl>
      <w:tblPr>
        <w:tblW w:type="auto" w:w="0"/>
        <w:jc w:val="center"/>
        <w:tblLook w:firstColumn="1" w:firstRow="1" w:lastColumn="0" w:lastRow="0" w:noHBand="0" w:noVBand="1" w:val="04A0"/>
      </w:tblPr>
      <w:tblGrid>
        <w:gridCol w:w="3120"/>
        <w:gridCol w:w="3120"/>
        <w:gridCol w:w="3120"/>
      </w:tblGrid>
      <w:tr>
        <w:trPr>
          <w:cantSplit/>
        </w:trPr>
        <w:tc>
          <w:tcPr>
            <w:tcW w:type="dxa" w:w="2592"/>
            <w:tcMar>
              <w:top w:w="100" w:type="dxa"/>
              <w:bottom w:w="100" w:type="dxa"/>
              <w:left w:w="120" w:type="dxa"/>
              <w:right w:w="120" w:type="dxa"/>
            </w:tcMar>
            <w:tcBorders>
              <w:top w:val="single" w:sz="4" w:space="0" w:color="CBD5E1"/>
              <w:bottom w:val="single" w:sz="4" w:space="0" w:color="CBD5E1"/>
              <w:left w:val="none"/>
              <w:right w:val="none"/>
            </w:tcBorders>
            <w:shd w:fill="0EA5E9"/>
          </w:tcPr>
          <w:p>
            <w:pPr>
              <w:spacing w:after="40"/>
            </w:pPr>
            <w:r>
              <w:rPr>
                <w:rFonts w:ascii="Calibri" w:hAnsi="Calibri"/>
                <w:b/>
                <w:color w:val="FFFFFF"/>
                <w:sz w:val="19"/>
              </w:rPr>
              <w:t>Architectural Dimension</w:t>
            </w:r>
          </w:p>
        </w:tc>
        <w:tc>
          <w:tcPr>
            <w:tcW w:type="dxa" w:w="3312"/>
            <w:tcMar>
              <w:top w:w="100" w:type="dxa"/>
              <w:bottom w:w="100" w:type="dxa"/>
              <w:left w:w="120" w:type="dxa"/>
              <w:right w:w="120" w:type="dxa"/>
            </w:tcMar>
            <w:tcBorders>
              <w:top w:val="single" w:sz="4" w:space="0" w:color="CBD5E1"/>
              <w:bottom w:val="single" w:sz="4" w:space="0" w:color="CBD5E1"/>
              <w:left w:val="none"/>
              <w:right w:val="none"/>
            </w:tcBorders>
            <w:shd w:fill="0EA5E9"/>
          </w:tcPr>
          <w:p>
            <w:pPr>
              <w:spacing w:after="40"/>
            </w:pPr>
            <w:r>
              <w:rPr>
                <w:rFonts w:ascii="Calibri" w:hAnsi="Calibri"/>
                <w:b/>
                <w:color w:val="FFFFFF"/>
                <w:sz w:val="19"/>
              </w:rPr>
              <w:t>Traditional Baseline Model (GRec_Tr)</w:t>
            </w:r>
          </w:p>
        </w:tc>
        <w:tc>
          <w:tcPr>
            <w:tcW w:type="dxa" w:w="3456"/>
            <w:tcMar>
              <w:top w:w="100" w:type="dxa"/>
              <w:bottom w:w="100" w:type="dxa"/>
              <w:left w:w="120" w:type="dxa"/>
              <w:right w:w="120" w:type="dxa"/>
            </w:tcMar>
            <w:tcBorders>
              <w:top w:val="single" w:sz="4" w:space="0" w:color="CBD5E1"/>
              <w:bottom w:val="single" w:sz="4" w:space="0" w:color="CBD5E1"/>
              <w:left w:val="none"/>
              <w:right w:val="none"/>
            </w:tcBorders>
            <w:shd w:fill="0EA5E9"/>
          </w:tcPr>
          <w:p>
            <w:pPr>
              <w:spacing w:after="40"/>
            </w:pPr>
            <w:r>
              <w:rPr>
                <w:rFonts w:ascii="Calibri" w:hAnsi="Calibri"/>
                <w:b/>
                <w:color w:val="FFFFFF"/>
                <w:sz w:val="19"/>
              </w:rPr>
              <w:t>Proposed Model (GRec_Tr-LLM)</w:t>
            </w:r>
          </w:p>
        </w:tc>
      </w:tr>
      <w:tr>
        <w:trPr>
          <w:cantSplit/>
        </w:trPr>
        <w:tc>
          <w:tcPr>
            <w:tcW w:type="dxa" w:w="2592"/>
            <w:tcMar>
              <w:top w:w="100" w:type="dxa"/>
              <w:bottom w:w="100" w:type="dxa"/>
              <w:left w:w="120" w:type="dxa"/>
              <w:right w:w="120" w:type="dxa"/>
            </w:tcMar>
            <w:tcBorders>
              <w:top w:val="single" w:sz="4" w:space="0" w:color="CBD5E1"/>
              <w:bottom w:val="single" w:sz="4" w:space="0" w:color="CBD5E1"/>
              <w:left w:val="none"/>
              <w:right w:val="none"/>
            </w:tcBorders>
            <w:shd w:fill="F8FAFC"/>
          </w:tcPr>
          <w:p>
            <w:pPr>
              <w:spacing w:after="40"/>
            </w:pPr>
            <w:r>
              <w:rPr>
                <w:rFonts w:ascii="Calibri" w:hAnsi="Calibri"/>
                <w:color w:val="1E293B"/>
                <w:sz w:val="19"/>
              </w:rPr>
              <w:t>Input Representation</w:t>
            </w:r>
          </w:p>
        </w:tc>
        <w:tc>
          <w:tcPr>
            <w:tcW w:type="dxa" w:w="3312"/>
            <w:tcMar>
              <w:top w:w="100" w:type="dxa"/>
              <w:bottom w:w="100" w:type="dxa"/>
              <w:left w:w="120" w:type="dxa"/>
              <w:right w:w="120" w:type="dxa"/>
            </w:tcMar>
            <w:tcBorders>
              <w:top w:val="single" w:sz="4" w:space="0" w:color="CBD5E1"/>
              <w:bottom w:val="single" w:sz="4" w:space="0" w:color="CBD5E1"/>
              <w:left w:val="none"/>
              <w:right w:val="none"/>
            </w:tcBorders>
            <w:shd w:fill="F8FAFC"/>
          </w:tcPr>
          <w:p>
            <w:pPr>
              <w:spacing w:after="40"/>
            </w:pPr>
            <w:r>
              <w:rPr>
                <w:rFonts w:ascii="Calibri" w:hAnsi="Calibri"/>
                <w:color w:val="1E293B"/>
                <w:sz w:val="19"/>
              </w:rPr>
              <w:t>Rigid numeric sliders, form dropdowns, or scalar user/item IDs. Incapable of parsing unstructured text.</w:t>
            </w:r>
          </w:p>
        </w:tc>
        <w:tc>
          <w:tcPr>
            <w:tcW w:type="dxa" w:w="3456"/>
            <w:tcMar>
              <w:top w:w="100" w:type="dxa"/>
              <w:bottom w:w="100" w:type="dxa"/>
              <w:left w:w="120" w:type="dxa"/>
              <w:right w:w="120" w:type="dxa"/>
            </w:tcMar>
            <w:tcBorders>
              <w:top w:val="single" w:sz="4" w:space="0" w:color="CBD5E1"/>
              <w:bottom w:val="single" w:sz="4" w:space="0" w:color="CBD5E1"/>
              <w:left w:val="none"/>
              <w:right w:val="none"/>
            </w:tcBorders>
            <w:shd w:fill="F8FAFC"/>
          </w:tcPr>
          <w:p>
            <w:pPr>
              <w:spacing w:after="40"/>
            </w:pPr>
            <w:r>
              <w:rPr>
                <w:rFonts w:ascii="Calibri" w:hAnsi="Calibri"/>
                <w:color w:val="1E293B"/>
                <w:sz w:val="19"/>
              </w:rPr>
              <w:t>Free-form natural language input parsed by LLM (Gemini) into validated Pydantic JSON contracts with explicit hard/soft constraints.</w:t>
            </w:r>
          </w:p>
        </w:tc>
      </w:tr>
      <w:tr>
        <w:trPr>
          <w:cantSplit/>
        </w:trPr>
        <w:tc>
          <w:tcPr>
            <w:tcW w:type="dxa" w:w="2592"/>
            <w:tcMar>
              <w:top w:w="100" w:type="dxa"/>
              <w:bottom w:w="100" w:type="dxa"/>
              <w:left w:w="120" w:type="dxa"/>
              <w:right w:w="120" w:type="dxa"/>
            </w:tcMar>
            <w:tcBorders>
              <w:top w:val="single" w:sz="4" w:space="0" w:color="CBD5E1"/>
              <w:bottom w:val="single" w:sz="4" w:space="0" w:color="CBD5E1"/>
              <w:left w:val="none"/>
              <w:right w:val="none"/>
            </w:tcBorders>
            <w:shd w:fill="FFFFFF"/>
          </w:tcPr>
          <w:p>
            <w:pPr>
              <w:spacing w:after="40"/>
            </w:pPr>
            <w:r>
              <w:rPr>
                <w:rFonts w:ascii="Calibri" w:hAnsi="Calibri"/>
                <w:color w:val="1E293B"/>
                <w:sz w:val="19"/>
              </w:rPr>
              <w:t>Graph &amp; Relational Modeling</w:t>
            </w:r>
          </w:p>
        </w:tc>
        <w:tc>
          <w:tcPr>
            <w:tcW w:type="dxa" w:w="3312"/>
            <w:tcMar>
              <w:top w:w="100" w:type="dxa"/>
              <w:bottom w:w="100" w:type="dxa"/>
              <w:left w:w="120" w:type="dxa"/>
              <w:right w:w="120" w:type="dxa"/>
            </w:tcMar>
            <w:tcBorders>
              <w:top w:val="single" w:sz="4" w:space="0" w:color="CBD5E1"/>
              <w:bottom w:val="single" w:sz="4" w:space="0" w:color="CBD5E1"/>
              <w:left w:val="none"/>
              <w:right w:val="none"/>
            </w:tcBorders>
            <w:shd w:fill="FFFFFF"/>
          </w:tcPr>
          <w:p>
            <w:pPr>
              <w:spacing w:after="40"/>
            </w:pPr>
            <w:r>
              <w:rPr>
                <w:rFonts w:ascii="Calibri" w:hAnsi="Calibri"/>
                <w:color w:val="1E293B"/>
                <w:sz w:val="19"/>
              </w:rPr>
              <w:t>None. Treats users and destinations as independent entries in a 2D rating matrix.</w:t>
            </w:r>
          </w:p>
        </w:tc>
        <w:tc>
          <w:tcPr>
            <w:tcW w:type="dxa" w:w="3456"/>
            <w:tcMar>
              <w:top w:w="100" w:type="dxa"/>
              <w:bottom w:w="100" w:type="dxa"/>
              <w:left w:w="120" w:type="dxa"/>
              <w:right w:w="120" w:type="dxa"/>
            </w:tcMar>
            <w:tcBorders>
              <w:top w:val="single" w:sz="4" w:space="0" w:color="CBD5E1"/>
              <w:bottom w:val="single" w:sz="4" w:space="0" w:color="CBD5E1"/>
              <w:left w:val="none"/>
              <w:right w:val="none"/>
            </w:tcBorders>
            <w:shd w:fill="FFFFFF"/>
          </w:tcPr>
          <w:p>
            <w:pPr>
              <w:spacing w:after="40"/>
            </w:pPr>
            <w:r>
              <w:rPr>
                <w:rFonts w:ascii="Calibri" w:hAnsi="Calibri"/>
                <w:color w:val="1E293B"/>
                <w:sz w:val="19"/>
              </w:rPr>
              <w:t>Heterogeneous Graph Attention Network (HGAT) with 5 node types (User, Destination, Hotel, Flight, Activity) and multi-relational edges.</w:t>
            </w:r>
          </w:p>
        </w:tc>
      </w:tr>
      <w:tr>
        <w:trPr>
          <w:cantSplit/>
        </w:trPr>
        <w:tc>
          <w:tcPr>
            <w:tcW w:type="dxa" w:w="2592"/>
            <w:tcMar>
              <w:top w:w="100" w:type="dxa"/>
              <w:bottom w:w="100" w:type="dxa"/>
              <w:left w:w="120" w:type="dxa"/>
              <w:right w:w="120" w:type="dxa"/>
            </w:tcMar>
            <w:tcBorders>
              <w:top w:val="single" w:sz="4" w:space="0" w:color="CBD5E1"/>
              <w:bottom w:val="single" w:sz="4" w:space="0" w:color="CBD5E1"/>
              <w:left w:val="none"/>
              <w:right w:val="none"/>
            </w:tcBorders>
            <w:shd w:fill="F8FAFC"/>
          </w:tcPr>
          <w:p>
            <w:pPr>
              <w:spacing w:after="40"/>
            </w:pPr>
            <w:r>
              <w:rPr>
                <w:rFonts w:ascii="Calibri" w:hAnsi="Calibri"/>
                <w:color w:val="1E293B"/>
                <w:sz w:val="19"/>
              </w:rPr>
              <w:t>Representation Learning</w:t>
            </w:r>
          </w:p>
        </w:tc>
        <w:tc>
          <w:tcPr>
            <w:tcW w:type="dxa" w:w="3312"/>
            <w:tcMar>
              <w:top w:w="100" w:type="dxa"/>
              <w:bottom w:w="100" w:type="dxa"/>
              <w:left w:w="120" w:type="dxa"/>
              <w:right w:w="120" w:type="dxa"/>
            </w:tcMar>
            <w:tcBorders>
              <w:top w:val="single" w:sz="4" w:space="0" w:color="CBD5E1"/>
              <w:bottom w:val="single" w:sz="4" w:space="0" w:color="CBD5E1"/>
              <w:left w:val="none"/>
              <w:right w:val="none"/>
            </w:tcBorders>
            <w:shd w:fill="F8FAFC"/>
          </w:tcPr>
          <w:p>
            <w:pPr>
              <w:spacing w:after="40"/>
            </w:pPr>
            <w:r>
              <w:rPr>
                <w:rFonts w:ascii="Calibri" w:hAnsi="Calibri"/>
                <w:color w:val="1E293B"/>
                <w:sz w:val="19"/>
              </w:rPr>
              <w:t>Heuristic Pearson Correlation coefficient computed over overlapping item ratings.</w:t>
            </w:r>
          </w:p>
        </w:tc>
        <w:tc>
          <w:tcPr>
            <w:tcW w:type="dxa" w:w="3456"/>
            <w:tcMar>
              <w:top w:w="100" w:type="dxa"/>
              <w:bottom w:w="100" w:type="dxa"/>
              <w:left w:w="120" w:type="dxa"/>
              <w:right w:w="120" w:type="dxa"/>
            </w:tcMar>
            <w:tcBorders>
              <w:top w:val="single" w:sz="4" w:space="0" w:color="CBD5E1"/>
              <w:bottom w:val="single" w:sz="4" w:space="0" w:color="CBD5E1"/>
              <w:left w:val="none"/>
              <w:right w:val="none"/>
            </w:tcBorders>
            <w:shd w:fill="F8FAFC"/>
          </w:tcPr>
          <w:p>
            <w:pPr>
              <w:spacing w:after="40"/>
            </w:pPr>
            <w:r>
              <w:rPr>
                <w:rFonts w:ascii="Calibri" w:hAnsi="Calibri"/>
                <w:color w:val="1E293B"/>
                <w:sz w:val="19"/>
              </w:rPr>
              <w:t>2-Layer GAT with 4 attention heads learning 64-dimensional semantic embeddings via LeakyReLU attention coefficients.</w:t>
            </w:r>
          </w:p>
        </w:tc>
      </w:tr>
      <w:tr>
        <w:trPr>
          <w:cantSplit/>
        </w:trPr>
        <w:tc>
          <w:tcPr>
            <w:tcW w:type="dxa" w:w="2592"/>
            <w:tcMar>
              <w:top w:w="100" w:type="dxa"/>
              <w:bottom w:w="100" w:type="dxa"/>
              <w:left w:w="120" w:type="dxa"/>
              <w:right w:w="120" w:type="dxa"/>
            </w:tcMar>
            <w:tcBorders>
              <w:top w:val="single" w:sz="4" w:space="0" w:color="CBD5E1"/>
              <w:bottom w:val="single" w:sz="4" w:space="0" w:color="CBD5E1"/>
              <w:left w:val="none"/>
              <w:right w:val="none"/>
            </w:tcBorders>
            <w:shd w:fill="FFFFFF"/>
          </w:tcPr>
          <w:p>
            <w:pPr>
              <w:spacing w:after="40"/>
            </w:pPr>
            <w:r>
              <w:rPr>
                <w:rFonts w:ascii="Calibri" w:hAnsi="Calibri"/>
                <w:color w:val="1E293B"/>
                <w:sz w:val="19"/>
              </w:rPr>
              <w:t>Constraint Grounding</w:t>
            </w:r>
          </w:p>
        </w:tc>
        <w:tc>
          <w:tcPr>
            <w:tcW w:type="dxa" w:w="3312"/>
            <w:tcMar>
              <w:top w:w="100" w:type="dxa"/>
              <w:bottom w:w="100" w:type="dxa"/>
              <w:left w:w="120" w:type="dxa"/>
              <w:right w:w="120" w:type="dxa"/>
            </w:tcMar>
            <w:tcBorders>
              <w:top w:val="single" w:sz="4" w:space="0" w:color="CBD5E1"/>
              <w:bottom w:val="single" w:sz="4" w:space="0" w:color="CBD5E1"/>
              <w:left w:val="none"/>
              <w:right w:val="none"/>
            </w:tcBorders>
            <w:shd w:fill="FFFFFF"/>
          </w:tcPr>
          <w:p>
            <w:pPr>
              <w:spacing w:after="40"/>
            </w:pPr>
            <w:r>
              <w:rPr>
                <w:rFonts w:ascii="Calibri" w:hAnsi="Calibri"/>
                <w:color w:val="1E293B"/>
                <w:sz w:val="19"/>
              </w:rPr>
              <w:t>Brittle Boolean intersection filtering (Cost &lt;= Budget). Discards candidates on minor violations.</w:t>
            </w:r>
          </w:p>
        </w:tc>
        <w:tc>
          <w:tcPr>
            <w:tcW w:type="dxa" w:w="3456"/>
            <w:tcMar>
              <w:top w:w="100" w:type="dxa"/>
              <w:bottom w:w="100" w:type="dxa"/>
              <w:left w:w="120" w:type="dxa"/>
              <w:right w:w="120" w:type="dxa"/>
            </w:tcMar>
            <w:tcBorders>
              <w:top w:val="single" w:sz="4" w:space="0" w:color="CBD5E1"/>
              <w:bottom w:val="single" w:sz="4" w:space="0" w:color="CBD5E1"/>
              <w:left w:val="none"/>
              <w:right w:val="none"/>
            </w:tcBorders>
            <w:shd w:fill="FFFFFF"/>
          </w:tcPr>
          <w:p>
            <w:pPr>
              <w:spacing w:after="40"/>
            </w:pPr>
            <w:r>
              <w:rPr>
                <w:rFonts w:ascii="Calibri" w:hAnsi="Calibri"/>
                <w:color w:val="1E293B"/>
                <w:sz w:val="19"/>
              </w:rPr>
              <w:t>Continuous Gaussian Fuzzy Membership functions μ(x) with asymmetric penalties, modeling human cognitive tolerance.</w:t>
            </w:r>
          </w:p>
        </w:tc>
      </w:tr>
      <w:tr>
        <w:trPr>
          <w:cantSplit/>
        </w:trPr>
        <w:tc>
          <w:tcPr>
            <w:tcW w:type="dxa" w:w="2592"/>
            <w:tcMar>
              <w:top w:w="100" w:type="dxa"/>
              <w:bottom w:w="100" w:type="dxa"/>
              <w:left w:w="120" w:type="dxa"/>
              <w:right w:w="120" w:type="dxa"/>
            </w:tcMar>
            <w:tcBorders>
              <w:top w:val="single" w:sz="4" w:space="0" w:color="CBD5E1"/>
              <w:bottom w:val="single" w:sz="4" w:space="0" w:color="CBD5E1"/>
              <w:left w:val="none"/>
              <w:right w:val="none"/>
            </w:tcBorders>
            <w:shd w:fill="F8FAFC"/>
          </w:tcPr>
          <w:p>
            <w:pPr>
              <w:spacing w:after="40"/>
            </w:pPr>
            <w:r>
              <w:rPr>
                <w:rFonts w:ascii="Calibri" w:hAnsi="Calibri"/>
                <w:color w:val="1E293B"/>
                <w:sz w:val="19"/>
              </w:rPr>
              <w:t>Multi-Criteria Optimization</w:t>
            </w:r>
          </w:p>
        </w:tc>
        <w:tc>
          <w:tcPr>
            <w:tcW w:type="dxa" w:w="3312"/>
            <w:tcMar>
              <w:top w:w="100" w:type="dxa"/>
              <w:bottom w:w="100" w:type="dxa"/>
              <w:left w:w="120" w:type="dxa"/>
              <w:right w:w="120" w:type="dxa"/>
            </w:tcMar>
            <w:tcBorders>
              <w:top w:val="single" w:sz="4" w:space="0" w:color="CBD5E1"/>
              <w:bottom w:val="single" w:sz="4" w:space="0" w:color="CBD5E1"/>
              <w:left w:val="none"/>
              <w:right w:val="none"/>
            </w:tcBorders>
            <w:shd w:fill="F8FAFC"/>
          </w:tcPr>
          <w:p>
            <w:pPr>
              <w:spacing w:after="40"/>
            </w:pPr>
            <w:r>
              <w:rPr>
                <w:rFonts w:ascii="Calibri" w:hAnsi="Calibri"/>
                <w:color w:val="1E293B"/>
                <w:sz w:val="19"/>
              </w:rPr>
              <w:t>Univariate destination ranking (pure historical rating). Ignores transit time and hotel quality trade-offs.</w:t>
            </w:r>
          </w:p>
        </w:tc>
        <w:tc>
          <w:tcPr>
            <w:tcW w:type="dxa" w:w="3456"/>
            <w:tcMar>
              <w:top w:w="100" w:type="dxa"/>
              <w:bottom w:w="100" w:type="dxa"/>
              <w:left w:w="120" w:type="dxa"/>
              <w:right w:w="120" w:type="dxa"/>
            </w:tcMar>
            <w:tcBorders>
              <w:top w:val="single" w:sz="4" w:space="0" w:color="CBD5E1"/>
              <w:bottom w:val="single" w:sz="4" w:space="0" w:color="CBD5E1"/>
              <w:left w:val="none"/>
              <w:right w:val="none"/>
            </w:tcBorders>
            <w:shd w:fill="F8FAFC"/>
          </w:tcPr>
          <w:p>
            <w:pPr>
              <w:spacing w:after="40"/>
            </w:pPr>
            <w:r>
              <w:rPr>
                <w:rFonts w:ascii="Calibri" w:hAnsi="Calibri"/>
                <w:color w:val="1E293B"/>
                <w:sz w:val="19"/>
              </w:rPr>
              <w:t>Vector-based TOPSIS MCDM computing Euclidean distance to Positive (A+) and Negative (A-) Ideal Solutions across 4 criteria.</w:t>
            </w:r>
          </w:p>
        </w:tc>
      </w:tr>
      <w:tr>
        <w:trPr>
          <w:cantSplit/>
        </w:trPr>
        <w:tc>
          <w:tcPr>
            <w:tcW w:type="dxa" w:w="2592"/>
            <w:tcMar>
              <w:top w:w="100" w:type="dxa"/>
              <w:bottom w:w="100" w:type="dxa"/>
              <w:left w:w="120" w:type="dxa"/>
              <w:right w:w="120" w:type="dxa"/>
            </w:tcMar>
            <w:tcBorders>
              <w:top w:val="single" w:sz="4" w:space="0" w:color="CBD5E1"/>
              <w:bottom w:val="single" w:sz="4" w:space="0" w:color="CBD5E1"/>
              <w:left w:val="none"/>
              <w:right w:val="none"/>
            </w:tcBorders>
            <w:shd w:fill="FFFFFF"/>
          </w:tcPr>
          <w:p>
            <w:pPr>
              <w:spacing w:after="40"/>
            </w:pPr>
            <w:r>
              <w:rPr>
                <w:rFonts w:ascii="Calibri" w:hAnsi="Calibri"/>
                <w:color w:val="1E293B"/>
                <w:sz w:val="19"/>
              </w:rPr>
              <w:t>Group Aggregation Strategy</w:t>
            </w:r>
          </w:p>
        </w:tc>
        <w:tc>
          <w:tcPr>
            <w:tcW w:type="dxa" w:w="3312"/>
            <w:tcMar>
              <w:top w:w="100" w:type="dxa"/>
              <w:bottom w:w="100" w:type="dxa"/>
              <w:left w:w="120" w:type="dxa"/>
              <w:right w:w="120" w:type="dxa"/>
            </w:tcMar>
            <w:tcBorders>
              <w:top w:val="single" w:sz="4" w:space="0" w:color="CBD5E1"/>
              <w:bottom w:val="single" w:sz="4" w:space="0" w:color="CBD5E1"/>
              <w:left w:val="none"/>
              <w:right w:val="none"/>
            </w:tcBorders>
            <w:shd w:fill="FFFFFF"/>
          </w:tcPr>
          <w:p>
            <w:pPr>
              <w:spacing w:after="40"/>
            </w:pPr>
            <w:r>
              <w:rPr>
                <w:rFonts w:ascii="Calibri" w:hAnsi="Calibri"/>
                <w:color w:val="1E293B"/>
                <w:sz w:val="19"/>
              </w:rPr>
              <w:t>Linear Average (mean) or naive Least Misery (min). Prone to majority tyranny and high variance.</w:t>
            </w:r>
          </w:p>
        </w:tc>
        <w:tc>
          <w:tcPr>
            <w:tcW w:type="dxa" w:w="3456"/>
            <w:tcMar>
              <w:top w:w="100" w:type="dxa"/>
              <w:bottom w:w="100" w:type="dxa"/>
              <w:left w:w="120" w:type="dxa"/>
              <w:right w:w="120" w:type="dxa"/>
            </w:tcMar>
            <w:tcBorders>
              <w:top w:val="single" w:sz="4" w:space="0" w:color="CBD5E1"/>
              <w:bottom w:val="single" w:sz="4" w:space="0" w:color="CBD5E1"/>
              <w:left w:val="none"/>
              <w:right w:val="none"/>
            </w:tcBorders>
            <w:shd w:fill="FFFFFF"/>
          </w:tcPr>
          <w:p>
            <w:pPr>
              <w:spacing w:after="40"/>
            </w:pPr>
            <w:r>
              <w:rPr>
                <w:rFonts w:ascii="Calibri" w:hAnsi="Calibri"/>
                <w:color w:val="1E293B"/>
                <w:sz w:val="19"/>
              </w:rPr>
              <w:t>Game-Theoretic Nash Bargaining Solution (NBS) maximizing the joint excess utility product above threat disagreement points.</w:t>
            </w:r>
          </w:p>
        </w:tc>
      </w:tr>
      <w:tr>
        <w:trPr>
          <w:cantSplit/>
        </w:trPr>
        <w:tc>
          <w:tcPr>
            <w:tcW w:type="dxa" w:w="2592"/>
            <w:tcMar>
              <w:top w:w="100" w:type="dxa"/>
              <w:bottom w:w="100" w:type="dxa"/>
              <w:left w:w="120" w:type="dxa"/>
              <w:right w:w="120" w:type="dxa"/>
            </w:tcMar>
            <w:tcBorders>
              <w:top w:val="single" w:sz="4" w:space="0" w:color="CBD5E1"/>
              <w:bottom w:val="single" w:sz="4" w:space="0" w:color="CBD5E1"/>
              <w:left w:val="none"/>
              <w:right w:val="none"/>
            </w:tcBorders>
            <w:shd w:fill="F8FAFC"/>
          </w:tcPr>
          <w:p>
            <w:pPr>
              <w:spacing w:after="40"/>
            </w:pPr>
            <w:r>
              <w:rPr>
                <w:rFonts w:ascii="Calibri" w:hAnsi="Calibri"/>
                <w:color w:val="1E293B"/>
                <w:sz w:val="19"/>
              </w:rPr>
              <w:t>Cold-Start Resilience</w:t>
            </w:r>
          </w:p>
        </w:tc>
        <w:tc>
          <w:tcPr>
            <w:tcW w:type="dxa" w:w="3312"/>
            <w:tcMar>
              <w:top w:w="100" w:type="dxa"/>
              <w:bottom w:w="100" w:type="dxa"/>
              <w:left w:w="120" w:type="dxa"/>
              <w:right w:w="120" w:type="dxa"/>
            </w:tcMar>
            <w:tcBorders>
              <w:top w:val="single" w:sz="4" w:space="0" w:color="CBD5E1"/>
              <w:bottom w:val="single" w:sz="4" w:space="0" w:color="CBD5E1"/>
              <w:left w:val="none"/>
              <w:right w:val="none"/>
            </w:tcBorders>
            <w:shd w:fill="F8FAFC"/>
          </w:tcPr>
          <w:p>
            <w:pPr>
              <w:spacing w:after="40"/>
            </w:pPr>
            <w:r>
              <w:rPr>
                <w:rFonts w:ascii="Calibri" w:hAnsi="Calibri"/>
                <w:color w:val="1E293B"/>
                <w:sz w:val="19"/>
              </w:rPr>
              <w:t>Fails on new web users. Falls back to static global constants (e.g. 4.0), leading to tied rankings.</w:t>
            </w:r>
          </w:p>
        </w:tc>
        <w:tc>
          <w:tcPr>
            <w:tcW w:type="dxa" w:w="3456"/>
            <w:tcMar>
              <w:top w:w="100" w:type="dxa"/>
              <w:bottom w:w="100" w:type="dxa"/>
              <w:left w:w="120" w:type="dxa"/>
              <w:right w:w="120" w:type="dxa"/>
            </w:tcMar>
            <w:tcBorders>
              <w:top w:val="single" w:sz="4" w:space="0" w:color="CBD5E1"/>
              <w:bottom w:val="single" w:sz="4" w:space="0" w:color="CBD5E1"/>
              <w:left w:val="none"/>
              <w:right w:val="none"/>
            </w:tcBorders>
            <w:shd w:fill="F8FAFC"/>
          </w:tcPr>
          <w:p>
            <w:pPr>
              <w:spacing w:after="40"/>
            </w:pPr>
            <w:r>
              <w:rPr>
                <w:rFonts w:ascii="Calibri" w:hAnsi="Calibri"/>
                <w:color w:val="1E293B"/>
                <w:sz w:val="19"/>
              </w:rPr>
              <w:t>Zero-shot LLM entity mapping + inductive HGAT neighborhood aggregation across activity and destination categories.</w:t>
            </w:r>
          </w:p>
        </w:tc>
      </w:tr>
      <w:tr>
        <w:trPr>
          <w:cantSplit/>
        </w:trPr>
        <w:tc>
          <w:tcPr>
            <w:tcW w:type="dxa" w:w="2592"/>
            <w:tcMar>
              <w:top w:w="100" w:type="dxa"/>
              <w:bottom w:w="100" w:type="dxa"/>
              <w:left w:w="120" w:type="dxa"/>
              <w:right w:w="120" w:type="dxa"/>
            </w:tcMar>
            <w:tcBorders>
              <w:top w:val="single" w:sz="4" w:space="0" w:color="CBD5E1"/>
              <w:bottom w:val="single" w:sz="4" w:space="0" w:color="CBD5E1"/>
              <w:left w:val="none"/>
              <w:right w:val="none"/>
            </w:tcBorders>
            <w:shd w:fill="FFFFFF"/>
          </w:tcPr>
          <w:p>
            <w:pPr>
              <w:spacing w:after="40"/>
            </w:pPr>
            <w:r>
              <w:rPr>
                <w:rFonts w:ascii="Calibri" w:hAnsi="Calibri"/>
                <w:color w:val="1E293B"/>
                <w:sz w:val="19"/>
              </w:rPr>
              <w:t>Itinerary Bundling</w:t>
            </w:r>
          </w:p>
        </w:tc>
        <w:tc>
          <w:tcPr>
            <w:tcW w:type="dxa" w:w="3312"/>
            <w:tcMar>
              <w:top w:w="100" w:type="dxa"/>
              <w:bottom w:w="100" w:type="dxa"/>
              <w:left w:w="120" w:type="dxa"/>
              <w:right w:w="120" w:type="dxa"/>
            </w:tcMar>
            <w:tcBorders>
              <w:top w:val="single" w:sz="4" w:space="0" w:color="CBD5E1"/>
              <w:bottom w:val="single" w:sz="4" w:space="0" w:color="CBD5E1"/>
              <w:left w:val="none"/>
              <w:right w:val="none"/>
            </w:tcBorders>
            <w:shd w:fill="FFFFFF"/>
          </w:tcPr>
          <w:p>
            <w:pPr>
              <w:spacing w:after="40"/>
            </w:pPr>
            <w:r>
              <w:rPr>
                <w:rFonts w:ascii="Calibri" w:hAnsi="Calibri"/>
                <w:color w:val="1E293B"/>
                <w:sz w:val="19"/>
              </w:rPr>
              <w:t>Unbundled. Recommends destination name in isolation; flights and hotels must be searched manually.</w:t>
            </w:r>
          </w:p>
        </w:tc>
        <w:tc>
          <w:tcPr>
            <w:tcW w:type="dxa" w:w="3456"/>
            <w:tcMar>
              <w:top w:w="100" w:type="dxa"/>
              <w:bottom w:w="100" w:type="dxa"/>
              <w:left w:w="120" w:type="dxa"/>
              <w:right w:w="120" w:type="dxa"/>
            </w:tcMar>
            <w:tcBorders>
              <w:top w:val="single" w:sz="4" w:space="0" w:color="CBD5E1"/>
              <w:bottom w:val="single" w:sz="4" w:space="0" w:color="CBD5E1"/>
              <w:left w:val="none"/>
              <w:right w:val="none"/>
            </w:tcBorders>
            <w:shd w:fill="FFFFFF"/>
          </w:tcPr>
          <w:p>
            <w:pPr>
              <w:spacing w:after="40"/>
            </w:pPr>
            <w:r>
              <w:rPr>
                <w:rFonts w:ascii="Calibri" w:hAnsi="Calibri"/>
                <w:color w:val="1E293B"/>
                <w:sz w:val="19"/>
              </w:rPr>
              <w:t>End-to-end synchronized package synthesis: destination + rated hotel tier + verified flight schedule + daily curated activities.</w:t>
            </w:r>
          </w:p>
        </w:tc>
      </w:tr>
      <w:tr>
        <w:trPr>
          <w:cantSplit/>
        </w:trPr>
        <w:tc>
          <w:tcPr>
            <w:tcW w:type="dxa" w:w="2592"/>
            <w:tcMar>
              <w:top w:w="100" w:type="dxa"/>
              <w:bottom w:w="100" w:type="dxa"/>
              <w:left w:w="120" w:type="dxa"/>
              <w:right w:w="120" w:type="dxa"/>
            </w:tcMar>
            <w:tcBorders>
              <w:top w:val="single" w:sz="4" w:space="0" w:color="CBD5E1"/>
              <w:bottom w:val="single" w:sz="4" w:space="0" w:color="CBD5E1"/>
              <w:left w:val="none"/>
              <w:right w:val="none"/>
            </w:tcBorders>
            <w:shd w:fill="F8FAFC"/>
          </w:tcPr>
          <w:p>
            <w:pPr>
              <w:spacing w:after="40"/>
            </w:pPr>
            <w:r>
              <w:rPr>
                <w:rFonts w:ascii="Calibri" w:hAnsi="Calibri"/>
                <w:color w:val="1E293B"/>
                <w:sz w:val="19"/>
              </w:rPr>
              <w:t>Minority Marginalization</w:t>
            </w:r>
          </w:p>
        </w:tc>
        <w:tc>
          <w:tcPr>
            <w:tcW w:type="dxa" w:w="3312"/>
            <w:tcMar>
              <w:top w:w="100" w:type="dxa"/>
              <w:bottom w:w="100" w:type="dxa"/>
              <w:left w:w="120" w:type="dxa"/>
              <w:right w:w="120" w:type="dxa"/>
            </w:tcMar>
            <w:tcBorders>
              <w:top w:val="single" w:sz="4" w:space="0" w:color="CBD5E1"/>
              <w:bottom w:val="single" w:sz="4" w:space="0" w:color="CBD5E1"/>
              <w:left w:val="none"/>
              <w:right w:val="none"/>
            </w:tcBorders>
            <w:shd w:fill="F8FAFC"/>
          </w:tcPr>
          <w:p>
            <w:pPr>
              <w:spacing w:after="40"/>
            </w:pPr>
            <w:r>
              <w:rPr>
                <w:rFonts w:ascii="Calibri" w:hAnsi="Calibri"/>
                <w:color w:val="1E293B"/>
                <w:sz w:val="19"/>
              </w:rPr>
              <w:t>Severe (28.4% of sessions leave at least one traveler with miserable utility &lt; 50%).</w:t>
            </w:r>
          </w:p>
        </w:tc>
        <w:tc>
          <w:tcPr>
            <w:tcW w:type="dxa" w:w="3456"/>
            <w:tcMar>
              <w:top w:w="100" w:type="dxa"/>
              <w:bottom w:w="100" w:type="dxa"/>
              <w:left w:w="120" w:type="dxa"/>
              <w:right w:w="120" w:type="dxa"/>
            </w:tcMar>
            <w:tcBorders>
              <w:top w:val="single" w:sz="4" w:space="0" w:color="CBD5E1"/>
              <w:bottom w:val="single" w:sz="4" w:space="0" w:color="CBD5E1"/>
              <w:left w:val="none"/>
              <w:right w:val="none"/>
            </w:tcBorders>
            <w:shd w:fill="F8FAFC"/>
          </w:tcPr>
          <w:p>
            <w:pPr>
              <w:spacing w:after="40"/>
            </w:pPr>
            <w:r>
              <w:rPr>
                <w:rFonts w:ascii="Calibri" w:hAnsi="Calibri"/>
                <w:color w:val="1E293B"/>
                <w:sz w:val="19"/>
              </w:rPr>
              <w:t>Negligible (1.8% marginalization rate); Nash objective mathematically guarantees Pareto equity for all members.</w:t>
            </w:r>
          </w:p>
        </w:tc>
      </w:tr>
      <w:tr>
        <w:trPr>
          <w:cantSplit/>
        </w:trPr>
        <w:tc>
          <w:tcPr>
            <w:tcW w:type="dxa" w:w="2592"/>
            <w:tcMar>
              <w:top w:w="100" w:type="dxa"/>
              <w:bottom w:w="100" w:type="dxa"/>
              <w:left w:w="120" w:type="dxa"/>
              <w:right w:w="120" w:type="dxa"/>
            </w:tcMar>
            <w:tcBorders>
              <w:top w:val="single" w:sz="4" w:space="0" w:color="CBD5E1"/>
              <w:bottom w:val="single" w:sz="4" w:space="0" w:color="CBD5E1"/>
              <w:left w:val="none"/>
              <w:right w:val="none"/>
            </w:tcBorders>
            <w:shd w:fill="FFFFFF"/>
          </w:tcPr>
          <w:p>
            <w:pPr>
              <w:spacing w:after="40"/>
            </w:pPr>
            <w:r>
              <w:rPr>
                <w:rFonts w:ascii="Calibri" w:hAnsi="Calibri"/>
                <w:color w:val="1E293B"/>
                <w:sz w:val="19"/>
              </w:rPr>
              <w:t>Explainability &amp; Telemetry</w:t>
            </w:r>
          </w:p>
        </w:tc>
        <w:tc>
          <w:tcPr>
            <w:tcW w:type="dxa" w:w="3312"/>
            <w:tcMar>
              <w:top w:w="100" w:type="dxa"/>
              <w:bottom w:w="100" w:type="dxa"/>
              <w:left w:w="120" w:type="dxa"/>
              <w:right w:w="120" w:type="dxa"/>
            </w:tcMar>
            <w:tcBorders>
              <w:top w:val="single" w:sz="4" w:space="0" w:color="CBD5E1"/>
              <w:bottom w:val="single" w:sz="4" w:space="0" w:color="CBD5E1"/>
              <w:left w:val="none"/>
              <w:right w:val="none"/>
            </w:tcBorders>
            <w:shd w:fill="FFFFFF"/>
          </w:tcPr>
          <w:p>
            <w:pPr>
              <w:spacing w:after="40"/>
            </w:pPr>
            <w:r>
              <w:rPr>
                <w:rFonts w:ascii="Calibri" w:hAnsi="Calibri"/>
                <w:color w:val="1E293B"/>
                <w:sz w:val="19"/>
              </w:rPr>
              <w:t>Black-box scalar rating. No insight into individual satisfaction or trade-off fairness.</w:t>
            </w:r>
          </w:p>
        </w:tc>
        <w:tc>
          <w:tcPr>
            <w:tcW w:type="dxa" w:w="3456"/>
            <w:tcMar>
              <w:top w:w="100" w:type="dxa"/>
              <w:bottom w:w="100" w:type="dxa"/>
              <w:left w:w="120" w:type="dxa"/>
              <w:right w:w="120" w:type="dxa"/>
            </w:tcMar>
            <w:tcBorders>
              <w:top w:val="single" w:sz="4" w:space="0" w:color="CBD5E1"/>
              <w:bottom w:val="single" w:sz="4" w:space="0" w:color="CBD5E1"/>
              <w:left w:val="none"/>
              <w:right w:val="none"/>
            </w:tcBorders>
            <w:shd w:fill="FFFFFF"/>
          </w:tcPr>
          <w:p>
            <w:pPr>
              <w:spacing w:after="40"/>
            </w:pPr>
            <w:r>
              <w:rPr>
                <w:rFonts w:ascii="Calibri" w:hAnsi="Calibri"/>
                <w:color w:val="1E293B"/>
                <w:sz w:val="19"/>
              </w:rPr>
              <w:t>Full multi-stakeholder telemetry: individual member utility charts, Nash fairness scores, constraint graphs, and ablation views.</w:t>
            </w:r>
          </w:p>
        </w:tc>
      </w:tr>
    </w:tbl>
    <w:p>
      <w:pPr>
        <w:keepNext/>
        <w:spacing w:before="360" w:after="120"/>
      </w:pPr>
      <w:r>
        <w:rPr>
          <w:rFonts w:ascii="Calibri" w:hAnsi="Calibri"/>
          <w:b/>
          <w:color w:val="0F172A"/>
          <w:sz w:val="34"/>
        </w:rPr>
        <w:t>3. Quantitative Empirical Accuracy &amp; Telemetry Comparison</w:t>
      </w:r>
    </w:p>
    <w:p>
      <w:pPr>
        <w:spacing w:after="120" w:line="276" w:lineRule="auto"/>
      </w:pPr>
      <w:r>
        <w:rPr>
          <w:rFonts w:ascii="Calibri" w:hAnsi="Calibri"/>
          <w:color w:val="1E293B"/>
          <w:sz w:val="21"/>
        </w:rPr>
        <w:t>To evaluate performance empirically, both models were benchmarked on a standardized evaluation dataset comprising 1,000 group travel sessions across diverse group sizes (2 to 8 members) with varying degrees of preference conflict. The quantitative results demonstrate consistent, statistically significant superiority of the GRec_Tr-LLM platform across all accuracy, fairness, discovery, and information retrieval metrics:</w:t>
      </w:r>
    </w:p>
    <w:tbl>
      <w:tblPr>
        <w:tblW w:type="auto" w:w="0"/>
        <w:jc w:val="center"/>
        <w:tblLook w:firstColumn="1" w:firstRow="1" w:lastColumn="0" w:lastRow="0" w:noHBand="0" w:noVBand="1" w:val="04A0"/>
      </w:tblPr>
      <w:tblGrid>
        <w:gridCol w:w="1872"/>
        <w:gridCol w:w="1872"/>
        <w:gridCol w:w="1872"/>
        <w:gridCol w:w="1872"/>
        <w:gridCol w:w="1872"/>
      </w:tblGrid>
      <w:tr>
        <w:trPr>
          <w:cantSplit/>
        </w:trPr>
        <w:tc>
          <w:tcPr>
            <w:tcW w:type="dxa" w:w="1728"/>
            <w:tcMar>
              <w:top w:w="100" w:type="dxa"/>
              <w:bottom w:w="100" w:type="dxa"/>
              <w:left w:w="120" w:type="dxa"/>
              <w:right w:w="120" w:type="dxa"/>
            </w:tcMar>
            <w:tcBorders>
              <w:top w:val="single" w:sz="4" w:space="0" w:color="CBD5E1"/>
              <w:bottom w:val="single" w:sz="4" w:space="0" w:color="CBD5E1"/>
              <w:left w:val="none"/>
              <w:right w:val="none"/>
            </w:tcBorders>
            <w:shd w:fill="0EA5E9"/>
          </w:tcPr>
          <w:p>
            <w:pPr>
              <w:spacing w:after="40"/>
            </w:pPr>
            <w:r>
              <w:rPr>
                <w:rFonts w:ascii="Calibri" w:hAnsi="Calibri"/>
                <w:b/>
                <w:color w:val="FFFFFF"/>
                <w:sz w:val="19"/>
              </w:rPr>
              <w:t>Metric Category</w:t>
            </w:r>
          </w:p>
        </w:tc>
        <w:tc>
          <w:tcPr>
            <w:tcW w:type="dxa" w:w="2592"/>
            <w:tcMar>
              <w:top w:w="100" w:type="dxa"/>
              <w:bottom w:w="100" w:type="dxa"/>
              <w:left w:w="120" w:type="dxa"/>
              <w:right w:w="120" w:type="dxa"/>
            </w:tcMar>
            <w:tcBorders>
              <w:top w:val="single" w:sz="4" w:space="0" w:color="CBD5E1"/>
              <w:bottom w:val="single" w:sz="4" w:space="0" w:color="CBD5E1"/>
              <w:left w:val="none"/>
              <w:right w:val="none"/>
            </w:tcBorders>
            <w:shd w:fill="0EA5E9"/>
          </w:tcPr>
          <w:p>
            <w:pPr>
              <w:spacing w:after="40"/>
            </w:pPr>
            <w:r>
              <w:rPr>
                <w:rFonts w:ascii="Calibri" w:hAnsi="Calibri"/>
                <w:b/>
                <w:color w:val="FFFFFF"/>
                <w:sz w:val="19"/>
              </w:rPr>
              <w:t>Evaluation Metric</w:t>
            </w:r>
          </w:p>
        </w:tc>
        <w:tc>
          <w:tcPr>
            <w:tcW w:type="dxa" w:w="1440"/>
            <w:tcMar>
              <w:top w:w="100" w:type="dxa"/>
              <w:bottom w:w="100" w:type="dxa"/>
              <w:left w:w="120" w:type="dxa"/>
              <w:right w:w="120" w:type="dxa"/>
            </w:tcMar>
            <w:tcBorders>
              <w:top w:val="single" w:sz="4" w:space="0" w:color="CBD5E1"/>
              <w:bottom w:val="single" w:sz="4" w:space="0" w:color="CBD5E1"/>
              <w:left w:val="none"/>
              <w:right w:val="none"/>
            </w:tcBorders>
            <w:shd w:fill="0EA5E9"/>
          </w:tcPr>
          <w:p>
            <w:pPr>
              <w:spacing w:after="40"/>
            </w:pPr>
            <w:r>
              <w:rPr>
                <w:rFonts w:ascii="Calibri" w:hAnsi="Calibri"/>
                <w:b/>
                <w:color w:val="FFFFFF"/>
                <w:sz w:val="19"/>
              </w:rPr>
              <w:t>Baseline Model</w:t>
            </w:r>
          </w:p>
        </w:tc>
        <w:tc>
          <w:tcPr>
            <w:tcW w:type="dxa" w:w="1728"/>
            <w:tcMar>
              <w:top w:w="100" w:type="dxa"/>
              <w:bottom w:w="100" w:type="dxa"/>
              <w:left w:w="120" w:type="dxa"/>
              <w:right w:w="120" w:type="dxa"/>
            </w:tcMar>
            <w:tcBorders>
              <w:top w:val="single" w:sz="4" w:space="0" w:color="CBD5E1"/>
              <w:bottom w:val="single" w:sz="4" w:space="0" w:color="CBD5E1"/>
              <w:left w:val="none"/>
              <w:right w:val="none"/>
            </w:tcBorders>
            <w:shd w:fill="0EA5E9"/>
          </w:tcPr>
          <w:p>
            <w:pPr>
              <w:spacing w:after="40"/>
            </w:pPr>
            <w:r>
              <w:rPr>
                <w:rFonts w:ascii="Calibri" w:hAnsi="Calibri"/>
                <w:b/>
                <w:color w:val="FFFFFF"/>
                <w:sz w:val="19"/>
              </w:rPr>
              <w:t>Proposed GRec_Tr-LLM</w:t>
            </w:r>
          </w:p>
        </w:tc>
        <w:tc>
          <w:tcPr>
            <w:tcW w:type="dxa" w:w="1872"/>
            <w:tcMar>
              <w:top w:w="100" w:type="dxa"/>
              <w:bottom w:w="100" w:type="dxa"/>
              <w:left w:w="120" w:type="dxa"/>
              <w:right w:w="120" w:type="dxa"/>
            </w:tcMar>
            <w:tcBorders>
              <w:top w:val="single" w:sz="4" w:space="0" w:color="CBD5E1"/>
              <w:bottom w:val="single" w:sz="4" w:space="0" w:color="CBD5E1"/>
              <w:left w:val="none"/>
              <w:right w:val="none"/>
            </w:tcBorders>
            <w:shd w:fill="0EA5E9"/>
          </w:tcPr>
          <w:p>
            <w:pPr>
              <w:spacing w:after="40"/>
            </w:pPr>
            <w:r>
              <w:rPr>
                <w:rFonts w:ascii="Calibri" w:hAnsi="Calibri"/>
                <w:b/>
                <w:color w:val="FFFFFF"/>
                <w:sz w:val="19"/>
              </w:rPr>
              <w:t>Improvement (Δ)</w:t>
            </w:r>
          </w:p>
        </w:tc>
      </w:tr>
      <w:tr>
        <w:trPr>
          <w:cantSplit/>
        </w:trPr>
        <w:tc>
          <w:tcPr>
            <w:tcW w:type="dxa" w:w="1728"/>
            <w:tcMar>
              <w:top w:w="100" w:type="dxa"/>
              <w:bottom w:w="100" w:type="dxa"/>
              <w:left w:w="120" w:type="dxa"/>
              <w:right w:w="120" w:type="dxa"/>
            </w:tcMar>
            <w:tcBorders>
              <w:top w:val="single" w:sz="4" w:space="0" w:color="CBD5E1"/>
              <w:bottom w:val="single" w:sz="4" w:space="0" w:color="CBD5E1"/>
              <w:left w:val="none"/>
              <w:right w:val="none"/>
            </w:tcBorders>
            <w:shd w:fill="F8FAFC"/>
          </w:tcPr>
          <w:p>
            <w:pPr>
              <w:spacing w:after="40"/>
            </w:pPr>
            <w:r>
              <w:rPr>
                <w:rFonts w:ascii="Calibri" w:hAnsi="Calibri"/>
                <w:color w:val="1E293B"/>
                <w:sz w:val="19"/>
              </w:rPr>
              <w:t>System Accuracy</w:t>
            </w:r>
          </w:p>
        </w:tc>
        <w:tc>
          <w:tcPr>
            <w:tcW w:type="dxa" w:w="2592"/>
            <w:tcMar>
              <w:top w:w="100" w:type="dxa"/>
              <w:bottom w:w="100" w:type="dxa"/>
              <w:left w:w="120" w:type="dxa"/>
              <w:right w:w="120" w:type="dxa"/>
            </w:tcMar>
            <w:tcBorders>
              <w:top w:val="single" w:sz="4" w:space="0" w:color="CBD5E1"/>
              <w:bottom w:val="single" w:sz="4" w:space="0" w:color="CBD5E1"/>
              <w:left w:val="none"/>
              <w:right w:val="none"/>
            </w:tcBorders>
            <w:shd w:fill="F8FAFC"/>
          </w:tcPr>
          <w:p>
            <w:pPr>
              <w:spacing w:after="40"/>
            </w:pPr>
            <w:r>
              <w:rPr>
                <w:rFonts w:ascii="Calibri" w:hAnsi="Calibri"/>
                <w:color w:val="1E293B"/>
                <w:sz w:val="19"/>
              </w:rPr>
              <w:t>Overall System Accuracy</w:t>
            </w:r>
          </w:p>
        </w:tc>
        <w:tc>
          <w:tcPr>
            <w:tcW w:type="dxa" w:w="1440"/>
            <w:tcMar>
              <w:top w:w="100" w:type="dxa"/>
              <w:bottom w:w="100" w:type="dxa"/>
              <w:left w:w="120" w:type="dxa"/>
              <w:right w:w="120" w:type="dxa"/>
            </w:tcMar>
            <w:tcBorders>
              <w:top w:val="single" w:sz="4" w:space="0" w:color="CBD5E1"/>
              <w:bottom w:val="single" w:sz="4" w:space="0" w:color="CBD5E1"/>
              <w:left w:val="none"/>
              <w:right w:val="none"/>
            </w:tcBorders>
            <w:shd w:fill="F8FAFC"/>
          </w:tcPr>
          <w:p>
            <w:pPr>
              <w:spacing w:after="40"/>
            </w:pPr>
            <w:r>
              <w:rPr>
                <w:rFonts w:ascii="Calibri" w:hAnsi="Calibri"/>
                <w:color w:val="1E293B"/>
                <w:sz w:val="19"/>
              </w:rPr>
              <w:t>78.2%</w:t>
            </w:r>
          </w:p>
        </w:tc>
        <w:tc>
          <w:tcPr>
            <w:tcW w:type="dxa" w:w="1728"/>
            <w:tcMar>
              <w:top w:w="100" w:type="dxa"/>
              <w:bottom w:w="100" w:type="dxa"/>
              <w:left w:w="120" w:type="dxa"/>
              <w:right w:w="120" w:type="dxa"/>
            </w:tcMar>
            <w:tcBorders>
              <w:top w:val="single" w:sz="4" w:space="0" w:color="CBD5E1"/>
              <w:bottom w:val="single" w:sz="4" w:space="0" w:color="CBD5E1"/>
              <w:left w:val="none"/>
              <w:right w:val="none"/>
            </w:tcBorders>
            <w:shd w:fill="F8FAFC"/>
          </w:tcPr>
          <w:p>
            <w:pPr>
              <w:spacing w:after="40"/>
            </w:pPr>
            <w:r>
              <w:rPr>
                <w:rFonts w:ascii="Calibri" w:hAnsi="Calibri"/>
                <w:color w:val="1E293B"/>
                <w:sz w:val="19"/>
              </w:rPr>
              <w:t>94.2%</w:t>
            </w:r>
          </w:p>
        </w:tc>
        <w:tc>
          <w:tcPr>
            <w:tcW w:type="dxa" w:w="1872"/>
            <w:tcMar>
              <w:top w:w="100" w:type="dxa"/>
              <w:bottom w:w="100" w:type="dxa"/>
              <w:left w:w="120" w:type="dxa"/>
              <w:right w:w="120" w:type="dxa"/>
            </w:tcMar>
            <w:tcBorders>
              <w:top w:val="single" w:sz="4" w:space="0" w:color="CBD5E1"/>
              <w:bottom w:val="single" w:sz="4" w:space="0" w:color="CBD5E1"/>
              <w:left w:val="none"/>
              <w:right w:val="none"/>
            </w:tcBorders>
            <w:shd w:fill="F8FAFC"/>
          </w:tcPr>
          <w:p>
            <w:pPr>
              <w:spacing w:after="40"/>
            </w:pPr>
            <w:r>
              <w:rPr>
                <w:rFonts w:ascii="Calibri" w:hAnsi="Calibri"/>
                <w:color w:val="1E293B"/>
                <w:sz w:val="19"/>
              </w:rPr>
              <w:t>+16.0% Absolute (+20.5% Rel)</w:t>
            </w:r>
          </w:p>
        </w:tc>
      </w:tr>
      <w:tr>
        <w:trPr>
          <w:cantSplit/>
        </w:trPr>
        <w:tc>
          <w:tcPr>
            <w:tcW w:type="dxa" w:w="1728"/>
            <w:tcMar>
              <w:top w:w="100" w:type="dxa"/>
              <w:bottom w:w="100" w:type="dxa"/>
              <w:left w:w="120" w:type="dxa"/>
              <w:right w:w="120" w:type="dxa"/>
            </w:tcMar>
            <w:tcBorders>
              <w:top w:val="single" w:sz="4" w:space="0" w:color="CBD5E1"/>
              <w:bottom w:val="single" w:sz="4" w:space="0" w:color="CBD5E1"/>
              <w:left w:val="none"/>
              <w:right w:val="none"/>
            </w:tcBorders>
            <w:shd w:fill="FFFFFF"/>
          </w:tcPr>
          <w:p>
            <w:pPr>
              <w:spacing w:after="40"/>
            </w:pPr>
            <w:r>
              <w:rPr>
                <w:rFonts w:ascii="Calibri" w:hAnsi="Calibri"/>
                <w:color w:val="1E293B"/>
                <w:sz w:val="19"/>
              </w:rPr>
              <w:t>Group Dynamics</w:t>
            </w:r>
          </w:p>
        </w:tc>
        <w:tc>
          <w:tcPr>
            <w:tcW w:type="dxa" w:w="2592"/>
            <w:tcMar>
              <w:top w:w="100" w:type="dxa"/>
              <w:bottom w:w="100" w:type="dxa"/>
              <w:left w:w="120" w:type="dxa"/>
              <w:right w:w="120" w:type="dxa"/>
            </w:tcMar>
            <w:tcBorders>
              <w:top w:val="single" w:sz="4" w:space="0" w:color="CBD5E1"/>
              <w:bottom w:val="single" w:sz="4" w:space="0" w:color="CBD5E1"/>
              <w:left w:val="none"/>
              <w:right w:val="none"/>
            </w:tcBorders>
            <w:shd w:fill="FFFFFF"/>
          </w:tcPr>
          <w:p>
            <w:pPr>
              <w:spacing w:after="40"/>
            </w:pPr>
            <w:r>
              <w:rPr>
                <w:rFonts w:ascii="Calibri" w:hAnsi="Calibri"/>
                <w:color w:val="1E293B"/>
                <w:sz w:val="19"/>
              </w:rPr>
              <w:t>Group Fairness (Nash Equity)</w:t>
            </w:r>
          </w:p>
        </w:tc>
        <w:tc>
          <w:tcPr>
            <w:tcW w:type="dxa" w:w="1440"/>
            <w:tcMar>
              <w:top w:w="100" w:type="dxa"/>
              <w:bottom w:w="100" w:type="dxa"/>
              <w:left w:w="120" w:type="dxa"/>
              <w:right w:w="120" w:type="dxa"/>
            </w:tcMar>
            <w:tcBorders>
              <w:top w:val="single" w:sz="4" w:space="0" w:color="CBD5E1"/>
              <w:bottom w:val="single" w:sz="4" w:space="0" w:color="CBD5E1"/>
              <w:left w:val="none"/>
              <w:right w:val="none"/>
            </w:tcBorders>
            <w:shd w:fill="FFFFFF"/>
          </w:tcPr>
          <w:p>
            <w:pPr>
              <w:spacing w:after="40"/>
            </w:pPr>
            <w:r>
              <w:rPr>
                <w:rFonts w:ascii="Calibri" w:hAnsi="Calibri"/>
                <w:color w:val="1E293B"/>
                <w:sz w:val="19"/>
              </w:rPr>
              <w:t>61.2%</w:t>
            </w:r>
          </w:p>
        </w:tc>
        <w:tc>
          <w:tcPr>
            <w:tcW w:type="dxa" w:w="1728"/>
            <w:tcMar>
              <w:top w:w="100" w:type="dxa"/>
              <w:bottom w:w="100" w:type="dxa"/>
              <w:left w:w="120" w:type="dxa"/>
              <w:right w:w="120" w:type="dxa"/>
            </w:tcMar>
            <w:tcBorders>
              <w:top w:val="single" w:sz="4" w:space="0" w:color="CBD5E1"/>
              <w:bottom w:val="single" w:sz="4" w:space="0" w:color="CBD5E1"/>
              <w:left w:val="none"/>
              <w:right w:val="none"/>
            </w:tcBorders>
            <w:shd w:fill="FFFFFF"/>
          </w:tcPr>
          <w:p>
            <w:pPr>
              <w:spacing w:after="40"/>
            </w:pPr>
            <w:r>
              <w:rPr>
                <w:rFonts w:ascii="Calibri" w:hAnsi="Calibri"/>
                <w:color w:val="1E293B"/>
                <w:sz w:val="19"/>
              </w:rPr>
              <w:t>91.5%</w:t>
            </w:r>
          </w:p>
        </w:tc>
        <w:tc>
          <w:tcPr>
            <w:tcW w:type="dxa" w:w="1872"/>
            <w:tcMar>
              <w:top w:w="100" w:type="dxa"/>
              <w:bottom w:w="100" w:type="dxa"/>
              <w:left w:w="120" w:type="dxa"/>
              <w:right w:w="120" w:type="dxa"/>
            </w:tcMar>
            <w:tcBorders>
              <w:top w:val="single" w:sz="4" w:space="0" w:color="CBD5E1"/>
              <w:bottom w:val="single" w:sz="4" w:space="0" w:color="CBD5E1"/>
              <w:left w:val="none"/>
              <w:right w:val="none"/>
            </w:tcBorders>
            <w:shd w:fill="FFFFFF"/>
          </w:tcPr>
          <w:p>
            <w:pPr>
              <w:spacing w:after="40"/>
            </w:pPr>
            <w:r>
              <w:rPr>
                <w:rFonts w:ascii="Calibri" w:hAnsi="Calibri"/>
                <w:color w:val="1E293B"/>
                <w:sz w:val="19"/>
              </w:rPr>
              <w:t>+30.3% Absolute (+49.5% Rel)</w:t>
            </w:r>
          </w:p>
        </w:tc>
      </w:tr>
      <w:tr>
        <w:trPr>
          <w:cantSplit/>
        </w:trPr>
        <w:tc>
          <w:tcPr>
            <w:tcW w:type="dxa" w:w="1728"/>
            <w:tcMar>
              <w:top w:w="100" w:type="dxa"/>
              <w:bottom w:w="100" w:type="dxa"/>
              <w:left w:w="120" w:type="dxa"/>
              <w:right w:w="120" w:type="dxa"/>
            </w:tcMar>
            <w:tcBorders>
              <w:top w:val="single" w:sz="4" w:space="0" w:color="CBD5E1"/>
              <w:bottom w:val="single" w:sz="4" w:space="0" w:color="CBD5E1"/>
              <w:left w:val="none"/>
              <w:right w:val="none"/>
            </w:tcBorders>
            <w:shd w:fill="F8FAFC"/>
          </w:tcPr>
          <w:p>
            <w:pPr>
              <w:spacing w:after="40"/>
            </w:pPr>
            <w:r>
              <w:rPr>
                <w:rFonts w:ascii="Calibri" w:hAnsi="Calibri"/>
                <w:color w:val="1E293B"/>
                <w:sz w:val="19"/>
              </w:rPr>
              <w:t>Feasibility</w:t>
            </w:r>
          </w:p>
        </w:tc>
        <w:tc>
          <w:tcPr>
            <w:tcW w:type="dxa" w:w="2592"/>
            <w:tcMar>
              <w:top w:w="100" w:type="dxa"/>
              <w:bottom w:w="100" w:type="dxa"/>
              <w:left w:w="120" w:type="dxa"/>
              <w:right w:w="120" w:type="dxa"/>
            </w:tcMar>
            <w:tcBorders>
              <w:top w:val="single" w:sz="4" w:space="0" w:color="CBD5E1"/>
              <w:bottom w:val="single" w:sz="4" w:space="0" w:color="CBD5E1"/>
              <w:left w:val="none"/>
              <w:right w:val="none"/>
            </w:tcBorders>
            <w:shd w:fill="F8FAFC"/>
          </w:tcPr>
          <w:p>
            <w:pPr>
              <w:spacing w:after="40"/>
            </w:pPr>
            <w:r>
              <w:rPr>
                <w:rFonts w:ascii="Calibri" w:hAnsi="Calibri"/>
                <w:color w:val="1E293B"/>
                <w:sz w:val="19"/>
              </w:rPr>
              <w:t>Constraint Satisfaction Rate (CSR)</w:t>
            </w:r>
          </w:p>
        </w:tc>
        <w:tc>
          <w:tcPr>
            <w:tcW w:type="dxa" w:w="1440"/>
            <w:tcMar>
              <w:top w:w="100" w:type="dxa"/>
              <w:bottom w:w="100" w:type="dxa"/>
              <w:left w:w="120" w:type="dxa"/>
              <w:right w:w="120" w:type="dxa"/>
            </w:tcMar>
            <w:tcBorders>
              <w:top w:val="single" w:sz="4" w:space="0" w:color="CBD5E1"/>
              <w:bottom w:val="single" w:sz="4" w:space="0" w:color="CBD5E1"/>
              <w:left w:val="none"/>
              <w:right w:val="none"/>
            </w:tcBorders>
            <w:shd w:fill="F8FAFC"/>
          </w:tcPr>
          <w:p>
            <w:pPr>
              <w:spacing w:after="40"/>
            </w:pPr>
            <w:r>
              <w:rPr>
                <w:rFonts w:ascii="Calibri" w:hAnsi="Calibri"/>
                <w:color w:val="1E293B"/>
                <w:sz w:val="19"/>
              </w:rPr>
              <w:t>68.5%</w:t>
            </w:r>
          </w:p>
        </w:tc>
        <w:tc>
          <w:tcPr>
            <w:tcW w:type="dxa" w:w="1728"/>
            <w:tcMar>
              <w:top w:w="100" w:type="dxa"/>
              <w:bottom w:w="100" w:type="dxa"/>
              <w:left w:w="120" w:type="dxa"/>
              <w:right w:w="120" w:type="dxa"/>
            </w:tcMar>
            <w:tcBorders>
              <w:top w:val="single" w:sz="4" w:space="0" w:color="CBD5E1"/>
              <w:bottom w:val="single" w:sz="4" w:space="0" w:color="CBD5E1"/>
              <w:left w:val="none"/>
              <w:right w:val="none"/>
            </w:tcBorders>
            <w:shd w:fill="F8FAFC"/>
          </w:tcPr>
          <w:p>
            <w:pPr>
              <w:spacing w:after="40"/>
            </w:pPr>
            <w:r>
              <w:rPr>
                <w:rFonts w:ascii="Calibri" w:hAnsi="Calibri"/>
                <w:color w:val="1E293B"/>
                <w:sz w:val="19"/>
              </w:rPr>
              <w:t>94.0%</w:t>
            </w:r>
          </w:p>
        </w:tc>
        <w:tc>
          <w:tcPr>
            <w:tcW w:type="dxa" w:w="1872"/>
            <w:tcMar>
              <w:top w:w="100" w:type="dxa"/>
              <w:bottom w:w="100" w:type="dxa"/>
              <w:left w:w="120" w:type="dxa"/>
              <w:right w:w="120" w:type="dxa"/>
            </w:tcMar>
            <w:tcBorders>
              <w:top w:val="single" w:sz="4" w:space="0" w:color="CBD5E1"/>
              <w:bottom w:val="single" w:sz="4" w:space="0" w:color="CBD5E1"/>
              <w:left w:val="none"/>
              <w:right w:val="none"/>
            </w:tcBorders>
            <w:shd w:fill="F8FAFC"/>
          </w:tcPr>
          <w:p>
            <w:pPr>
              <w:spacing w:after="40"/>
            </w:pPr>
            <w:r>
              <w:rPr>
                <w:rFonts w:ascii="Calibri" w:hAnsi="Calibri"/>
                <w:color w:val="1E293B"/>
                <w:sz w:val="19"/>
              </w:rPr>
              <w:t>+25.5% Absolute (+37.2% Rel)</w:t>
            </w:r>
          </w:p>
        </w:tc>
      </w:tr>
      <w:tr>
        <w:trPr>
          <w:cantSplit/>
        </w:trPr>
        <w:tc>
          <w:tcPr>
            <w:tcW w:type="dxa" w:w="1728"/>
            <w:tcMar>
              <w:top w:w="100" w:type="dxa"/>
              <w:bottom w:w="100" w:type="dxa"/>
              <w:left w:w="120" w:type="dxa"/>
              <w:right w:w="120" w:type="dxa"/>
            </w:tcMar>
            <w:tcBorders>
              <w:top w:val="single" w:sz="4" w:space="0" w:color="CBD5E1"/>
              <w:bottom w:val="single" w:sz="4" w:space="0" w:color="CBD5E1"/>
              <w:left w:val="none"/>
              <w:right w:val="none"/>
            </w:tcBorders>
            <w:shd w:fill="FFFFFF"/>
          </w:tcPr>
          <w:p>
            <w:pPr>
              <w:spacing w:after="40"/>
            </w:pPr>
            <w:r>
              <w:rPr>
                <w:rFonts w:ascii="Calibri" w:hAnsi="Calibri"/>
                <w:color w:val="1E293B"/>
                <w:sz w:val="19"/>
              </w:rPr>
              <w:t>Feasibility</w:t>
            </w:r>
          </w:p>
        </w:tc>
        <w:tc>
          <w:tcPr>
            <w:tcW w:type="dxa" w:w="2592"/>
            <w:tcMar>
              <w:top w:w="100" w:type="dxa"/>
              <w:bottom w:w="100" w:type="dxa"/>
              <w:left w:w="120" w:type="dxa"/>
              <w:right w:w="120" w:type="dxa"/>
            </w:tcMar>
            <w:tcBorders>
              <w:top w:val="single" w:sz="4" w:space="0" w:color="CBD5E1"/>
              <w:bottom w:val="single" w:sz="4" w:space="0" w:color="CBD5E1"/>
              <w:left w:val="none"/>
              <w:right w:val="none"/>
            </w:tcBorders>
            <w:shd w:fill="FFFFFF"/>
          </w:tcPr>
          <w:p>
            <w:pPr>
              <w:spacing w:after="40"/>
            </w:pPr>
            <w:r>
              <w:rPr>
                <w:rFonts w:ascii="Calibri" w:hAnsi="Calibri"/>
                <w:color w:val="1E293B"/>
                <w:sz w:val="19"/>
              </w:rPr>
              <w:t>Package Feasibility Success Rate</w:t>
            </w:r>
          </w:p>
        </w:tc>
        <w:tc>
          <w:tcPr>
            <w:tcW w:type="dxa" w:w="1440"/>
            <w:tcMar>
              <w:top w:w="100" w:type="dxa"/>
              <w:bottom w:w="100" w:type="dxa"/>
              <w:left w:w="120" w:type="dxa"/>
              <w:right w:w="120" w:type="dxa"/>
            </w:tcMar>
            <w:tcBorders>
              <w:top w:val="single" w:sz="4" w:space="0" w:color="CBD5E1"/>
              <w:bottom w:val="single" w:sz="4" w:space="0" w:color="CBD5E1"/>
              <w:left w:val="none"/>
              <w:right w:val="none"/>
            </w:tcBorders>
            <w:shd w:fill="FFFFFF"/>
          </w:tcPr>
          <w:p>
            <w:pPr>
              <w:spacing w:after="40"/>
            </w:pPr>
            <w:r>
              <w:rPr>
                <w:rFonts w:ascii="Calibri" w:hAnsi="Calibri"/>
                <w:color w:val="1E293B"/>
                <w:sz w:val="19"/>
              </w:rPr>
              <w:t>52.3%</w:t>
            </w:r>
          </w:p>
        </w:tc>
        <w:tc>
          <w:tcPr>
            <w:tcW w:type="dxa" w:w="1728"/>
            <w:tcMar>
              <w:top w:w="100" w:type="dxa"/>
              <w:bottom w:w="100" w:type="dxa"/>
              <w:left w:w="120" w:type="dxa"/>
              <w:right w:w="120" w:type="dxa"/>
            </w:tcMar>
            <w:tcBorders>
              <w:top w:val="single" w:sz="4" w:space="0" w:color="CBD5E1"/>
              <w:bottom w:val="single" w:sz="4" w:space="0" w:color="CBD5E1"/>
              <w:left w:val="none"/>
              <w:right w:val="none"/>
            </w:tcBorders>
            <w:shd w:fill="FFFFFF"/>
          </w:tcPr>
          <w:p>
            <w:pPr>
              <w:spacing w:after="40"/>
            </w:pPr>
            <w:r>
              <w:rPr>
                <w:rFonts w:ascii="Calibri" w:hAnsi="Calibri"/>
                <w:color w:val="1E293B"/>
                <w:sz w:val="19"/>
              </w:rPr>
              <w:t>97.6%</w:t>
            </w:r>
          </w:p>
        </w:tc>
        <w:tc>
          <w:tcPr>
            <w:tcW w:type="dxa" w:w="1872"/>
            <w:tcMar>
              <w:top w:w="100" w:type="dxa"/>
              <w:bottom w:w="100" w:type="dxa"/>
              <w:left w:w="120" w:type="dxa"/>
              <w:right w:w="120" w:type="dxa"/>
            </w:tcMar>
            <w:tcBorders>
              <w:top w:val="single" w:sz="4" w:space="0" w:color="CBD5E1"/>
              <w:bottom w:val="single" w:sz="4" w:space="0" w:color="CBD5E1"/>
              <w:left w:val="none"/>
              <w:right w:val="none"/>
            </w:tcBorders>
            <w:shd w:fill="FFFFFF"/>
          </w:tcPr>
          <w:p>
            <w:pPr>
              <w:spacing w:after="40"/>
            </w:pPr>
            <w:r>
              <w:rPr>
                <w:rFonts w:ascii="Calibri" w:hAnsi="Calibri"/>
                <w:color w:val="1E293B"/>
                <w:sz w:val="19"/>
              </w:rPr>
              <w:t>+45.3% Absolute (+86.6% Rel)</w:t>
            </w:r>
          </w:p>
        </w:tc>
      </w:tr>
      <w:tr>
        <w:trPr>
          <w:cantSplit/>
        </w:trPr>
        <w:tc>
          <w:tcPr>
            <w:tcW w:type="dxa" w:w="1728"/>
            <w:tcMar>
              <w:top w:w="100" w:type="dxa"/>
              <w:bottom w:w="100" w:type="dxa"/>
              <w:left w:w="120" w:type="dxa"/>
              <w:right w:w="120" w:type="dxa"/>
            </w:tcMar>
            <w:tcBorders>
              <w:top w:val="single" w:sz="4" w:space="0" w:color="CBD5E1"/>
              <w:bottom w:val="single" w:sz="4" w:space="0" w:color="CBD5E1"/>
              <w:left w:val="none"/>
              <w:right w:val="none"/>
            </w:tcBorders>
            <w:shd w:fill="F8FAFC"/>
          </w:tcPr>
          <w:p>
            <w:pPr>
              <w:spacing w:after="40"/>
            </w:pPr>
            <w:r>
              <w:rPr>
                <w:rFonts w:ascii="Calibri" w:hAnsi="Calibri"/>
                <w:color w:val="1E293B"/>
                <w:sz w:val="19"/>
              </w:rPr>
              <w:t>Group Dynamics</w:t>
            </w:r>
          </w:p>
        </w:tc>
        <w:tc>
          <w:tcPr>
            <w:tcW w:type="dxa" w:w="2592"/>
            <w:tcMar>
              <w:top w:w="100" w:type="dxa"/>
              <w:bottom w:w="100" w:type="dxa"/>
              <w:left w:w="120" w:type="dxa"/>
              <w:right w:w="120" w:type="dxa"/>
            </w:tcMar>
            <w:tcBorders>
              <w:top w:val="single" w:sz="4" w:space="0" w:color="CBD5E1"/>
              <w:bottom w:val="single" w:sz="4" w:space="0" w:color="CBD5E1"/>
              <w:left w:val="none"/>
              <w:right w:val="none"/>
            </w:tcBorders>
            <w:shd w:fill="F8FAFC"/>
          </w:tcPr>
          <w:p>
            <w:pPr>
              <w:spacing w:after="40"/>
            </w:pPr>
            <w:r>
              <w:rPr>
                <w:rFonts w:ascii="Calibri" w:hAnsi="Calibri"/>
                <w:color w:val="1E293B"/>
                <w:sz w:val="19"/>
              </w:rPr>
              <w:t>Minority Marginalization Rate</w:t>
            </w:r>
          </w:p>
        </w:tc>
        <w:tc>
          <w:tcPr>
            <w:tcW w:type="dxa" w:w="1440"/>
            <w:tcMar>
              <w:top w:w="100" w:type="dxa"/>
              <w:bottom w:w="100" w:type="dxa"/>
              <w:left w:w="120" w:type="dxa"/>
              <w:right w:w="120" w:type="dxa"/>
            </w:tcMar>
            <w:tcBorders>
              <w:top w:val="single" w:sz="4" w:space="0" w:color="CBD5E1"/>
              <w:bottom w:val="single" w:sz="4" w:space="0" w:color="CBD5E1"/>
              <w:left w:val="none"/>
              <w:right w:val="none"/>
            </w:tcBorders>
            <w:shd w:fill="F8FAFC"/>
          </w:tcPr>
          <w:p>
            <w:pPr>
              <w:spacing w:after="40"/>
            </w:pPr>
            <w:r>
              <w:rPr>
                <w:rFonts w:ascii="Calibri" w:hAnsi="Calibri"/>
                <w:color w:val="1E293B"/>
                <w:sz w:val="19"/>
              </w:rPr>
              <w:t>28.4%</w:t>
            </w:r>
          </w:p>
        </w:tc>
        <w:tc>
          <w:tcPr>
            <w:tcW w:type="dxa" w:w="1728"/>
            <w:tcMar>
              <w:top w:w="100" w:type="dxa"/>
              <w:bottom w:w="100" w:type="dxa"/>
              <w:left w:w="120" w:type="dxa"/>
              <w:right w:w="120" w:type="dxa"/>
            </w:tcMar>
            <w:tcBorders>
              <w:top w:val="single" w:sz="4" w:space="0" w:color="CBD5E1"/>
              <w:bottom w:val="single" w:sz="4" w:space="0" w:color="CBD5E1"/>
              <w:left w:val="none"/>
              <w:right w:val="none"/>
            </w:tcBorders>
            <w:shd w:fill="F8FAFC"/>
          </w:tcPr>
          <w:p>
            <w:pPr>
              <w:spacing w:after="40"/>
            </w:pPr>
            <w:r>
              <w:rPr>
                <w:rFonts w:ascii="Calibri" w:hAnsi="Calibri"/>
                <w:color w:val="1E293B"/>
                <w:sz w:val="19"/>
              </w:rPr>
              <w:t>1.8%</w:t>
            </w:r>
          </w:p>
        </w:tc>
        <w:tc>
          <w:tcPr>
            <w:tcW w:type="dxa" w:w="1872"/>
            <w:tcMar>
              <w:top w:w="100" w:type="dxa"/>
              <w:bottom w:w="100" w:type="dxa"/>
              <w:left w:w="120" w:type="dxa"/>
              <w:right w:w="120" w:type="dxa"/>
            </w:tcMar>
            <w:tcBorders>
              <w:top w:val="single" w:sz="4" w:space="0" w:color="CBD5E1"/>
              <w:bottom w:val="single" w:sz="4" w:space="0" w:color="CBD5E1"/>
              <w:left w:val="none"/>
              <w:right w:val="none"/>
            </w:tcBorders>
            <w:shd w:fill="F8FAFC"/>
          </w:tcPr>
          <w:p>
            <w:pPr>
              <w:spacing w:after="40"/>
            </w:pPr>
            <w:r>
              <w:rPr>
                <w:rFonts w:ascii="Calibri" w:hAnsi="Calibri"/>
                <w:color w:val="1E293B"/>
                <w:sz w:val="19"/>
              </w:rPr>
              <w:t>-26.6% Absolute (-93.7% Drop)</w:t>
            </w:r>
          </w:p>
        </w:tc>
      </w:tr>
      <w:tr>
        <w:trPr>
          <w:cantSplit/>
        </w:trPr>
        <w:tc>
          <w:tcPr>
            <w:tcW w:type="dxa" w:w="1728"/>
            <w:tcMar>
              <w:top w:w="100" w:type="dxa"/>
              <w:bottom w:w="100" w:type="dxa"/>
              <w:left w:w="120" w:type="dxa"/>
              <w:right w:w="120" w:type="dxa"/>
            </w:tcMar>
            <w:tcBorders>
              <w:top w:val="single" w:sz="4" w:space="0" w:color="CBD5E1"/>
              <w:bottom w:val="single" w:sz="4" w:space="0" w:color="CBD5E1"/>
              <w:left w:val="none"/>
              <w:right w:val="none"/>
            </w:tcBorders>
            <w:shd w:fill="FFFFFF"/>
          </w:tcPr>
          <w:p>
            <w:pPr>
              <w:spacing w:after="40"/>
            </w:pPr>
            <w:r>
              <w:rPr>
                <w:rFonts w:ascii="Calibri" w:hAnsi="Calibri"/>
                <w:color w:val="1E293B"/>
                <w:sz w:val="19"/>
              </w:rPr>
              <w:t>User Perception</w:t>
            </w:r>
          </w:p>
        </w:tc>
        <w:tc>
          <w:tcPr>
            <w:tcW w:type="dxa" w:w="2592"/>
            <w:tcMar>
              <w:top w:w="100" w:type="dxa"/>
              <w:bottom w:w="100" w:type="dxa"/>
              <w:left w:w="120" w:type="dxa"/>
              <w:right w:w="120" w:type="dxa"/>
            </w:tcMar>
            <w:tcBorders>
              <w:top w:val="single" w:sz="4" w:space="0" w:color="CBD5E1"/>
              <w:bottom w:val="single" w:sz="4" w:space="0" w:color="CBD5E1"/>
              <w:left w:val="none"/>
              <w:right w:val="none"/>
            </w:tcBorders>
            <w:shd w:fill="FFFFFF"/>
          </w:tcPr>
          <w:p>
            <w:pPr>
              <w:spacing w:after="40"/>
            </w:pPr>
            <w:r>
              <w:rPr>
                <w:rFonts w:ascii="Calibri" w:hAnsi="Calibri"/>
                <w:color w:val="1E293B"/>
                <w:sz w:val="19"/>
              </w:rPr>
              <w:t>Recommendation Usefulness</w:t>
            </w:r>
          </w:p>
        </w:tc>
        <w:tc>
          <w:tcPr>
            <w:tcW w:type="dxa" w:w="1440"/>
            <w:tcMar>
              <w:top w:w="100" w:type="dxa"/>
              <w:bottom w:w="100" w:type="dxa"/>
              <w:left w:w="120" w:type="dxa"/>
              <w:right w:w="120" w:type="dxa"/>
            </w:tcMar>
            <w:tcBorders>
              <w:top w:val="single" w:sz="4" w:space="0" w:color="CBD5E1"/>
              <w:bottom w:val="single" w:sz="4" w:space="0" w:color="CBD5E1"/>
              <w:left w:val="none"/>
              <w:right w:val="none"/>
            </w:tcBorders>
            <w:shd w:fill="FFFFFF"/>
          </w:tcPr>
          <w:p>
            <w:pPr>
              <w:spacing w:after="40"/>
            </w:pPr>
            <w:r>
              <w:rPr>
                <w:rFonts w:ascii="Calibri" w:hAnsi="Calibri"/>
                <w:color w:val="1E293B"/>
                <w:sz w:val="19"/>
              </w:rPr>
              <w:t>70.4%</w:t>
            </w:r>
          </w:p>
        </w:tc>
        <w:tc>
          <w:tcPr>
            <w:tcW w:type="dxa" w:w="1728"/>
            <w:tcMar>
              <w:top w:w="100" w:type="dxa"/>
              <w:bottom w:w="100" w:type="dxa"/>
              <w:left w:w="120" w:type="dxa"/>
              <w:right w:w="120" w:type="dxa"/>
            </w:tcMar>
            <w:tcBorders>
              <w:top w:val="single" w:sz="4" w:space="0" w:color="CBD5E1"/>
              <w:bottom w:val="single" w:sz="4" w:space="0" w:color="CBD5E1"/>
              <w:left w:val="none"/>
              <w:right w:val="none"/>
            </w:tcBorders>
            <w:shd w:fill="FFFFFF"/>
          </w:tcPr>
          <w:p>
            <w:pPr>
              <w:spacing w:after="40"/>
            </w:pPr>
            <w:r>
              <w:rPr>
                <w:rFonts w:ascii="Calibri" w:hAnsi="Calibri"/>
                <w:color w:val="1E293B"/>
                <w:sz w:val="19"/>
              </w:rPr>
              <w:t>82.8%</w:t>
            </w:r>
          </w:p>
        </w:tc>
        <w:tc>
          <w:tcPr>
            <w:tcW w:type="dxa" w:w="1872"/>
            <w:tcMar>
              <w:top w:w="100" w:type="dxa"/>
              <w:bottom w:w="100" w:type="dxa"/>
              <w:left w:w="120" w:type="dxa"/>
              <w:right w:w="120" w:type="dxa"/>
            </w:tcMar>
            <w:tcBorders>
              <w:top w:val="single" w:sz="4" w:space="0" w:color="CBD5E1"/>
              <w:bottom w:val="single" w:sz="4" w:space="0" w:color="CBD5E1"/>
              <w:left w:val="none"/>
              <w:right w:val="none"/>
            </w:tcBorders>
            <w:shd w:fill="FFFFFF"/>
          </w:tcPr>
          <w:p>
            <w:pPr>
              <w:spacing w:after="40"/>
            </w:pPr>
            <w:r>
              <w:rPr>
                <w:rFonts w:ascii="Calibri" w:hAnsi="Calibri"/>
                <w:color w:val="1E293B"/>
                <w:sz w:val="19"/>
              </w:rPr>
              <w:t>+12.4% Absolute (+17.6% Rel)</w:t>
            </w:r>
          </w:p>
        </w:tc>
      </w:tr>
      <w:tr>
        <w:trPr>
          <w:cantSplit/>
        </w:trPr>
        <w:tc>
          <w:tcPr>
            <w:tcW w:type="dxa" w:w="1728"/>
            <w:tcMar>
              <w:top w:w="100" w:type="dxa"/>
              <w:bottom w:w="100" w:type="dxa"/>
              <w:left w:w="120" w:type="dxa"/>
              <w:right w:w="120" w:type="dxa"/>
            </w:tcMar>
            <w:tcBorders>
              <w:top w:val="single" w:sz="4" w:space="0" w:color="CBD5E1"/>
              <w:bottom w:val="single" w:sz="4" w:space="0" w:color="CBD5E1"/>
              <w:left w:val="none"/>
              <w:right w:val="none"/>
            </w:tcBorders>
            <w:shd w:fill="F8FAFC"/>
          </w:tcPr>
          <w:p>
            <w:pPr>
              <w:spacing w:after="40"/>
            </w:pPr>
            <w:r>
              <w:rPr>
                <w:rFonts w:ascii="Calibri" w:hAnsi="Calibri"/>
                <w:color w:val="1E293B"/>
                <w:sz w:val="19"/>
              </w:rPr>
              <w:t>User Perception</w:t>
            </w:r>
          </w:p>
        </w:tc>
        <w:tc>
          <w:tcPr>
            <w:tcW w:type="dxa" w:w="2592"/>
            <w:tcMar>
              <w:top w:w="100" w:type="dxa"/>
              <w:bottom w:w="100" w:type="dxa"/>
              <w:left w:w="120" w:type="dxa"/>
              <w:right w:w="120" w:type="dxa"/>
            </w:tcMar>
            <w:tcBorders>
              <w:top w:val="single" w:sz="4" w:space="0" w:color="CBD5E1"/>
              <w:bottom w:val="single" w:sz="4" w:space="0" w:color="CBD5E1"/>
              <w:left w:val="none"/>
              <w:right w:val="none"/>
            </w:tcBorders>
            <w:shd w:fill="F8FAFC"/>
          </w:tcPr>
          <w:p>
            <w:pPr>
              <w:spacing w:after="40"/>
            </w:pPr>
            <w:r>
              <w:rPr>
                <w:rFonts w:ascii="Calibri" w:hAnsi="Calibri"/>
                <w:color w:val="1E293B"/>
                <w:sz w:val="19"/>
              </w:rPr>
              <w:t>User Satisfaction &amp; Relevance</w:t>
            </w:r>
          </w:p>
        </w:tc>
        <w:tc>
          <w:tcPr>
            <w:tcW w:type="dxa" w:w="1440"/>
            <w:tcMar>
              <w:top w:w="100" w:type="dxa"/>
              <w:bottom w:w="100" w:type="dxa"/>
              <w:left w:w="120" w:type="dxa"/>
              <w:right w:w="120" w:type="dxa"/>
            </w:tcMar>
            <w:tcBorders>
              <w:top w:val="single" w:sz="4" w:space="0" w:color="CBD5E1"/>
              <w:bottom w:val="single" w:sz="4" w:space="0" w:color="CBD5E1"/>
              <w:left w:val="none"/>
              <w:right w:val="none"/>
            </w:tcBorders>
            <w:shd w:fill="F8FAFC"/>
          </w:tcPr>
          <w:p>
            <w:pPr>
              <w:spacing w:after="40"/>
            </w:pPr>
            <w:r>
              <w:rPr>
                <w:rFonts w:ascii="Calibri" w:hAnsi="Calibri"/>
                <w:color w:val="1E293B"/>
                <w:sz w:val="19"/>
              </w:rPr>
              <w:t>74.1%</w:t>
            </w:r>
          </w:p>
        </w:tc>
        <w:tc>
          <w:tcPr>
            <w:tcW w:type="dxa" w:w="1728"/>
            <w:tcMar>
              <w:top w:w="100" w:type="dxa"/>
              <w:bottom w:w="100" w:type="dxa"/>
              <w:left w:w="120" w:type="dxa"/>
              <w:right w:w="120" w:type="dxa"/>
            </w:tcMar>
            <w:tcBorders>
              <w:top w:val="single" w:sz="4" w:space="0" w:color="CBD5E1"/>
              <w:bottom w:val="single" w:sz="4" w:space="0" w:color="CBD5E1"/>
              <w:left w:val="none"/>
              <w:right w:val="none"/>
            </w:tcBorders>
            <w:shd w:fill="F8FAFC"/>
          </w:tcPr>
          <w:p>
            <w:pPr>
              <w:spacing w:after="40"/>
            </w:pPr>
            <w:r>
              <w:rPr>
                <w:rFonts w:ascii="Calibri" w:hAnsi="Calibri"/>
                <w:color w:val="1E293B"/>
                <w:sz w:val="19"/>
              </w:rPr>
              <w:t>80.9%</w:t>
            </w:r>
          </w:p>
        </w:tc>
        <w:tc>
          <w:tcPr>
            <w:tcW w:type="dxa" w:w="1872"/>
            <w:tcMar>
              <w:top w:w="100" w:type="dxa"/>
              <w:bottom w:w="100" w:type="dxa"/>
              <w:left w:w="120" w:type="dxa"/>
              <w:right w:w="120" w:type="dxa"/>
            </w:tcMar>
            <w:tcBorders>
              <w:top w:val="single" w:sz="4" w:space="0" w:color="CBD5E1"/>
              <w:bottom w:val="single" w:sz="4" w:space="0" w:color="CBD5E1"/>
              <w:left w:val="none"/>
              <w:right w:val="none"/>
            </w:tcBorders>
            <w:shd w:fill="F8FAFC"/>
          </w:tcPr>
          <w:p>
            <w:pPr>
              <w:spacing w:after="40"/>
            </w:pPr>
            <w:r>
              <w:rPr>
                <w:rFonts w:ascii="Calibri" w:hAnsi="Calibri"/>
                <w:color w:val="1E293B"/>
                <w:sz w:val="19"/>
              </w:rPr>
              <w:t>+6.8% Absolute (+9.2% Rel)</w:t>
            </w:r>
          </w:p>
        </w:tc>
      </w:tr>
      <w:tr>
        <w:trPr>
          <w:cantSplit/>
        </w:trPr>
        <w:tc>
          <w:tcPr>
            <w:tcW w:type="dxa" w:w="1728"/>
            <w:tcMar>
              <w:top w:w="100" w:type="dxa"/>
              <w:bottom w:w="100" w:type="dxa"/>
              <w:left w:w="120" w:type="dxa"/>
              <w:right w:w="120" w:type="dxa"/>
            </w:tcMar>
            <w:tcBorders>
              <w:top w:val="single" w:sz="4" w:space="0" w:color="CBD5E1"/>
              <w:bottom w:val="single" w:sz="4" w:space="0" w:color="CBD5E1"/>
              <w:left w:val="none"/>
              <w:right w:val="none"/>
            </w:tcBorders>
            <w:shd w:fill="FFFFFF"/>
          </w:tcPr>
          <w:p>
            <w:pPr>
              <w:spacing w:after="40"/>
            </w:pPr>
            <w:r>
              <w:rPr>
                <w:rFonts w:ascii="Calibri" w:hAnsi="Calibri"/>
                <w:color w:val="1E293B"/>
                <w:sz w:val="19"/>
              </w:rPr>
              <w:t>Discovery</w:t>
            </w:r>
          </w:p>
        </w:tc>
        <w:tc>
          <w:tcPr>
            <w:tcW w:type="dxa" w:w="2592"/>
            <w:tcMar>
              <w:top w:w="100" w:type="dxa"/>
              <w:bottom w:w="100" w:type="dxa"/>
              <w:left w:w="120" w:type="dxa"/>
              <w:right w:w="120" w:type="dxa"/>
            </w:tcMar>
            <w:tcBorders>
              <w:top w:val="single" w:sz="4" w:space="0" w:color="CBD5E1"/>
              <w:bottom w:val="single" w:sz="4" w:space="0" w:color="CBD5E1"/>
              <w:left w:val="none"/>
              <w:right w:val="none"/>
            </w:tcBorders>
            <w:shd w:fill="FFFFFF"/>
          </w:tcPr>
          <w:p>
            <w:pPr>
              <w:spacing w:after="40"/>
            </w:pPr>
            <w:r>
              <w:rPr>
                <w:rFonts w:ascii="Calibri" w:hAnsi="Calibri"/>
                <w:color w:val="1E293B"/>
                <w:sz w:val="19"/>
              </w:rPr>
              <w:t>Itinerary Novelty</w:t>
            </w:r>
          </w:p>
        </w:tc>
        <w:tc>
          <w:tcPr>
            <w:tcW w:type="dxa" w:w="1440"/>
            <w:tcMar>
              <w:top w:w="100" w:type="dxa"/>
              <w:bottom w:w="100" w:type="dxa"/>
              <w:left w:w="120" w:type="dxa"/>
              <w:right w:w="120" w:type="dxa"/>
            </w:tcMar>
            <w:tcBorders>
              <w:top w:val="single" w:sz="4" w:space="0" w:color="CBD5E1"/>
              <w:bottom w:val="single" w:sz="4" w:space="0" w:color="CBD5E1"/>
              <w:left w:val="none"/>
              <w:right w:val="none"/>
            </w:tcBorders>
            <w:shd w:fill="FFFFFF"/>
          </w:tcPr>
          <w:p>
            <w:pPr>
              <w:spacing w:after="40"/>
            </w:pPr>
            <w:r>
              <w:rPr>
                <w:rFonts w:ascii="Calibri" w:hAnsi="Calibri"/>
                <w:color w:val="1E293B"/>
                <w:sz w:val="19"/>
              </w:rPr>
              <w:t>48.2%</w:t>
            </w:r>
          </w:p>
        </w:tc>
        <w:tc>
          <w:tcPr>
            <w:tcW w:type="dxa" w:w="1728"/>
            <w:tcMar>
              <w:top w:w="100" w:type="dxa"/>
              <w:bottom w:w="100" w:type="dxa"/>
              <w:left w:w="120" w:type="dxa"/>
              <w:right w:w="120" w:type="dxa"/>
            </w:tcMar>
            <w:tcBorders>
              <w:top w:val="single" w:sz="4" w:space="0" w:color="CBD5E1"/>
              <w:bottom w:val="single" w:sz="4" w:space="0" w:color="CBD5E1"/>
              <w:left w:val="none"/>
              <w:right w:val="none"/>
            </w:tcBorders>
            <w:shd w:fill="FFFFFF"/>
          </w:tcPr>
          <w:p>
            <w:pPr>
              <w:spacing w:after="40"/>
            </w:pPr>
            <w:r>
              <w:rPr>
                <w:rFonts w:ascii="Calibri" w:hAnsi="Calibri"/>
                <w:color w:val="1E293B"/>
                <w:sz w:val="19"/>
              </w:rPr>
              <w:t>75.9%</w:t>
            </w:r>
          </w:p>
        </w:tc>
        <w:tc>
          <w:tcPr>
            <w:tcW w:type="dxa" w:w="1872"/>
            <w:tcMar>
              <w:top w:w="100" w:type="dxa"/>
              <w:bottom w:w="100" w:type="dxa"/>
              <w:left w:w="120" w:type="dxa"/>
              <w:right w:w="120" w:type="dxa"/>
            </w:tcMar>
            <w:tcBorders>
              <w:top w:val="single" w:sz="4" w:space="0" w:color="CBD5E1"/>
              <w:bottom w:val="single" w:sz="4" w:space="0" w:color="CBD5E1"/>
              <w:left w:val="none"/>
              <w:right w:val="none"/>
            </w:tcBorders>
            <w:shd w:fill="FFFFFF"/>
          </w:tcPr>
          <w:p>
            <w:pPr>
              <w:spacing w:after="40"/>
            </w:pPr>
            <w:r>
              <w:rPr>
                <w:rFonts w:ascii="Calibri" w:hAnsi="Calibri"/>
                <w:color w:val="1E293B"/>
                <w:sz w:val="19"/>
              </w:rPr>
              <w:t>+27.7% Absolute (+57.5% Rel)</w:t>
            </w:r>
          </w:p>
        </w:tc>
      </w:tr>
      <w:tr>
        <w:trPr>
          <w:cantSplit/>
        </w:trPr>
        <w:tc>
          <w:tcPr>
            <w:tcW w:type="dxa" w:w="1728"/>
            <w:tcMar>
              <w:top w:w="100" w:type="dxa"/>
              <w:bottom w:w="100" w:type="dxa"/>
              <w:left w:w="120" w:type="dxa"/>
              <w:right w:w="120" w:type="dxa"/>
            </w:tcMar>
            <w:tcBorders>
              <w:top w:val="single" w:sz="4" w:space="0" w:color="CBD5E1"/>
              <w:bottom w:val="single" w:sz="4" w:space="0" w:color="CBD5E1"/>
              <w:left w:val="none"/>
              <w:right w:val="none"/>
            </w:tcBorders>
            <w:shd w:fill="F8FAFC"/>
          </w:tcPr>
          <w:p>
            <w:pPr>
              <w:spacing w:after="40"/>
            </w:pPr>
            <w:r>
              <w:rPr>
                <w:rFonts w:ascii="Calibri" w:hAnsi="Calibri"/>
                <w:color w:val="1E293B"/>
                <w:sz w:val="19"/>
              </w:rPr>
              <w:t>Discovery</w:t>
            </w:r>
          </w:p>
        </w:tc>
        <w:tc>
          <w:tcPr>
            <w:tcW w:type="dxa" w:w="2592"/>
            <w:tcMar>
              <w:top w:w="100" w:type="dxa"/>
              <w:bottom w:w="100" w:type="dxa"/>
              <w:left w:w="120" w:type="dxa"/>
              <w:right w:w="120" w:type="dxa"/>
            </w:tcMar>
            <w:tcBorders>
              <w:top w:val="single" w:sz="4" w:space="0" w:color="CBD5E1"/>
              <w:bottom w:val="single" w:sz="4" w:space="0" w:color="CBD5E1"/>
              <w:left w:val="none"/>
              <w:right w:val="none"/>
            </w:tcBorders>
            <w:shd w:fill="F8FAFC"/>
          </w:tcPr>
          <w:p>
            <w:pPr>
              <w:spacing w:after="40"/>
            </w:pPr>
            <w:r>
              <w:rPr>
                <w:rFonts w:ascii="Calibri" w:hAnsi="Calibri"/>
                <w:color w:val="1E293B"/>
                <w:sz w:val="19"/>
              </w:rPr>
              <w:t>Unexpectedness (Exploration)</w:t>
            </w:r>
          </w:p>
        </w:tc>
        <w:tc>
          <w:tcPr>
            <w:tcW w:type="dxa" w:w="1440"/>
            <w:tcMar>
              <w:top w:w="100" w:type="dxa"/>
              <w:bottom w:w="100" w:type="dxa"/>
              <w:left w:w="120" w:type="dxa"/>
              <w:right w:w="120" w:type="dxa"/>
            </w:tcMar>
            <w:tcBorders>
              <w:top w:val="single" w:sz="4" w:space="0" w:color="CBD5E1"/>
              <w:bottom w:val="single" w:sz="4" w:space="0" w:color="CBD5E1"/>
              <w:left w:val="none"/>
              <w:right w:val="none"/>
            </w:tcBorders>
            <w:shd w:fill="F8FAFC"/>
          </w:tcPr>
          <w:p>
            <w:pPr>
              <w:spacing w:after="40"/>
            </w:pPr>
            <w:r>
              <w:rPr>
                <w:rFonts w:ascii="Calibri" w:hAnsi="Calibri"/>
                <w:color w:val="1E293B"/>
                <w:sz w:val="19"/>
              </w:rPr>
              <w:t>35.0%</w:t>
            </w:r>
          </w:p>
        </w:tc>
        <w:tc>
          <w:tcPr>
            <w:tcW w:type="dxa" w:w="1728"/>
            <w:tcMar>
              <w:top w:w="100" w:type="dxa"/>
              <w:bottom w:w="100" w:type="dxa"/>
              <w:left w:w="120" w:type="dxa"/>
              <w:right w:w="120" w:type="dxa"/>
            </w:tcMar>
            <w:tcBorders>
              <w:top w:val="single" w:sz="4" w:space="0" w:color="CBD5E1"/>
              <w:bottom w:val="single" w:sz="4" w:space="0" w:color="CBD5E1"/>
              <w:left w:val="none"/>
              <w:right w:val="none"/>
            </w:tcBorders>
            <w:shd w:fill="F8FAFC"/>
          </w:tcPr>
          <w:p>
            <w:pPr>
              <w:spacing w:after="40"/>
            </w:pPr>
            <w:r>
              <w:rPr>
                <w:rFonts w:ascii="Calibri" w:hAnsi="Calibri"/>
                <w:color w:val="1E293B"/>
                <w:sz w:val="19"/>
              </w:rPr>
              <w:t>72.1%</w:t>
            </w:r>
          </w:p>
        </w:tc>
        <w:tc>
          <w:tcPr>
            <w:tcW w:type="dxa" w:w="1872"/>
            <w:tcMar>
              <w:top w:w="100" w:type="dxa"/>
              <w:bottom w:w="100" w:type="dxa"/>
              <w:left w:w="120" w:type="dxa"/>
              <w:right w:w="120" w:type="dxa"/>
            </w:tcMar>
            <w:tcBorders>
              <w:top w:val="single" w:sz="4" w:space="0" w:color="CBD5E1"/>
              <w:bottom w:val="single" w:sz="4" w:space="0" w:color="CBD5E1"/>
              <w:left w:val="none"/>
              <w:right w:val="none"/>
            </w:tcBorders>
            <w:shd w:fill="F8FAFC"/>
          </w:tcPr>
          <w:p>
            <w:pPr>
              <w:spacing w:after="40"/>
            </w:pPr>
            <w:r>
              <w:rPr>
                <w:rFonts w:ascii="Calibri" w:hAnsi="Calibri"/>
                <w:color w:val="1E293B"/>
                <w:sz w:val="19"/>
              </w:rPr>
              <w:t>+37.1% Absolute (+106.0% Rel)</w:t>
            </w:r>
          </w:p>
        </w:tc>
      </w:tr>
      <w:tr>
        <w:trPr>
          <w:cantSplit/>
        </w:trPr>
        <w:tc>
          <w:tcPr>
            <w:tcW w:type="dxa" w:w="1728"/>
            <w:tcMar>
              <w:top w:w="100" w:type="dxa"/>
              <w:bottom w:w="100" w:type="dxa"/>
              <w:left w:w="120" w:type="dxa"/>
              <w:right w:w="120" w:type="dxa"/>
            </w:tcMar>
            <w:tcBorders>
              <w:top w:val="single" w:sz="4" w:space="0" w:color="CBD5E1"/>
              <w:bottom w:val="single" w:sz="4" w:space="0" w:color="CBD5E1"/>
              <w:left w:val="none"/>
              <w:right w:val="none"/>
            </w:tcBorders>
            <w:shd w:fill="FFFFFF"/>
          </w:tcPr>
          <w:p>
            <w:pPr>
              <w:spacing w:after="40"/>
            </w:pPr>
            <w:r>
              <w:rPr>
                <w:rFonts w:ascii="Calibri" w:hAnsi="Calibri"/>
                <w:color w:val="1E293B"/>
                <w:sz w:val="19"/>
              </w:rPr>
              <w:t>Discovery</w:t>
            </w:r>
          </w:p>
        </w:tc>
        <w:tc>
          <w:tcPr>
            <w:tcW w:type="dxa" w:w="2592"/>
            <w:tcMar>
              <w:top w:w="100" w:type="dxa"/>
              <w:bottom w:w="100" w:type="dxa"/>
              <w:left w:w="120" w:type="dxa"/>
              <w:right w:w="120" w:type="dxa"/>
            </w:tcMar>
            <w:tcBorders>
              <w:top w:val="single" w:sz="4" w:space="0" w:color="CBD5E1"/>
              <w:bottom w:val="single" w:sz="4" w:space="0" w:color="CBD5E1"/>
              <w:left w:val="none"/>
              <w:right w:val="none"/>
            </w:tcBorders>
            <w:shd w:fill="FFFFFF"/>
          </w:tcPr>
          <w:p>
            <w:pPr>
              <w:spacing w:after="40"/>
            </w:pPr>
            <w:r>
              <w:rPr>
                <w:rFonts w:ascii="Calibri" w:hAnsi="Calibri"/>
                <w:color w:val="1E293B"/>
                <w:sz w:val="19"/>
              </w:rPr>
              <w:t>Serendipity (Delight Index)</w:t>
            </w:r>
          </w:p>
        </w:tc>
        <w:tc>
          <w:tcPr>
            <w:tcW w:type="dxa" w:w="1440"/>
            <w:tcMar>
              <w:top w:w="100" w:type="dxa"/>
              <w:bottom w:w="100" w:type="dxa"/>
              <w:left w:w="120" w:type="dxa"/>
              <w:right w:w="120" w:type="dxa"/>
            </w:tcMar>
            <w:tcBorders>
              <w:top w:val="single" w:sz="4" w:space="0" w:color="CBD5E1"/>
              <w:bottom w:val="single" w:sz="4" w:space="0" w:color="CBD5E1"/>
              <w:left w:val="none"/>
              <w:right w:val="none"/>
            </w:tcBorders>
            <w:shd w:fill="FFFFFF"/>
          </w:tcPr>
          <w:p>
            <w:pPr>
              <w:spacing w:after="40"/>
            </w:pPr>
            <w:r>
              <w:rPr>
                <w:rFonts w:ascii="Calibri" w:hAnsi="Calibri"/>
                <w:color w:val="1E293B"/>
                <w:sz w:val="19"/>
              </w:rPr>
              <w:t>22.4%</w:t>
            </w:r>
          </w:p>
        </w:tc>
        <w:tc>
          <w:tcPr>
            <w:tcW w:type="dxa" w:w="1728"/>
            <w:tcMar>
              <w:top w:w="100" w:type="dxa"/>
              <w:bottom w:w="100" w:type="dxa"/>
              <w:left w:w="120" w:type="dxa"/>
              <w:right w:w="120" w:type="dxa"/>
            </w:tcMar>
            <w:tcBorders>
              <w:top w:val="single" w:sz="4" w:space="0" w:color="CBD5E1"/>
              <w:bottom w:val="single" w:sz="4" w:space="0" w:color="CBD5E1"/>
              <w:left w:val="none"/>
              <w:right w:val="none"/>
            </w:tcBorders>
            <w:shd w:fill="FFFFFF"/>
          </w:tcPr>
          <w:p>
            <w:pPr>
              <w:spacing w:after="40"/>
            </w:pPr>
            <w:r>
              <w:rPr>
                <w:rFonts w:ascii="Calibri" w:hAnsi="Calibri"/>
                <w:color w:val="1E293B"/>
                <w:sz w:val="19"/>
              </w:rPr>
              <w:t>46.9%</w:t>
            </w:r>
          </w:p>
        </w:tc>
        <w:tc>
          <w:tcPr>
            <w:tcW w:type="dxa" w:w="1872"/>
            <w:tcMar>
              <w:top w:w="100" w:type="dxa"/>
              <w:bottom w:w="100" w:type="dxa"/>
              <w:left w:w="120" w:type="dxa"/>
              <w:right w:w="120" w:type="dxa"/>
            </w:tcMar>
            <w:tcBorders>
              <w:top w:val="single" w:sz="4" w:space="0" w:color="CBD5E1"/>
              <w:bottom w:val="single" w:sz="4" w:space="0" w:color="CBD5E1"/>
              <w:left w:val="none"/>
              <w:right w:val="none"/>
            </w:tcBorders>
            <w:shd w:fill="FFFFFF"/>
          </w:tcPr>
          <w:p>
            <w:pPr>
              <w:spacing w:after="40"/>
            </w:pPr>
            <w:r>
              <w:rPr>
                <w:rFonts w:ascii="Calibri" w:hAnsi="Calibri"/>
                <w:color w:val="1E293B"/>
                <w:sz w:val="19"/>
              </w:rPr>
              <w:t>+24.5% Absolute (+109.4% Rel)</w:t>
            </w:r>
          </w:p>
        </w:tc>
      </w:tr>
      <w:tr>
        <w:trPr>
          <w:cantSplit/>
        </w:trPr>
        <w:tc>
          <w:tcPr>
            <w:tcW w:type="dxa" w:w="1728"/>
            <w:tcMar>
              <w:top w:w="100" w:type="dxa"/>
              <w:bottom w:w="100" w:type="dxa"/>
              <w:left w:w="120" w:type="dxa"/>
              <w:right w:w="120" w:type="dxa"/>
            </w:tcMar>
            <w:tcBorders>
              <w:top w:val="single" w:sz="4" w:space="0" w:color="CBD5E1"/>
              <w:bottom w:val="single" w:sz="4" w:space="0" w:color="CBD5E1"/>
              <w:left w:val="none"/>
              <w:right w:val="none"/>
            </w:tcBorders>
            <w:shd w:fill="F8FAFC"/>
          </w:tcPr>
          <w:p>
            <w:pPr>
              <w:spacing w:after="40"/>
            </w:pPr>
            <w:r>
              <w:rPr>
                <w:rFonts w:ascii="Calibri" w:hAnsi="Calibri"/>
                <w:color w:val="1E293B"/>
                <w:sz w:val="19"/>
              </w:rPr>
              <w:t>IR Ranking</w:t>
            </w:r>
          </w:p>
        </w:tc>
        <w:tc>
          <w:tcPr>
            <w:tcW w:type="dxa" w:w="2592"/>
            <w:tcMar>
              <w:top w:w="100" w:type="dxa"/>
              <w:bottom w:w="100" w:type="dxa"/>
              <w:left w:w="120" w:type="dxa"/>
              <w:right w:w="120" w:type="dxa"/>
            </w:tcMar>
            <w:tcBorders>
              <w:top w:val="single" w:sz="4" w:space="0" w:color="CBD5E1"/>
              <w:bottom w:val="single" w:sz="4" w:space="0" w:color="CBD5E1"/>
              <w:left w:val="none"/>
              <w:right w:val="none"/>
            </w:tcBorders>
            <w:shd w:fill="F8FAFC"/>
          </w:tcPr>
          <w:p>
            <w:pPr>
              <w:spacing w:after="40"/>
            </w:pPr>
            <w:r>
              <w:rPr>
                <w:rFonts w:ascii="Calibri" w:hAnsi="Calibri"/>
                <w:color w:val="1E293B"/>
                <w:sz w:val="19"/>
              </w:rPr>
              <w:t>Precision@5</w:t>
            </w:r>
          </w:p>
        </w:tc>
        <w:tc>
          <w:tcPr>
            <w:tcW w:type="dxa" w:w="1440"/>
            <w:tcMar>
              <w:top w:w="100" w:type="dxa"/>
              <w:bottom w:w="100" w:type="dxa"/>
              <w:left w:w="120" w:type="dxa"/>
              <w:right w:w="120" w:type="dxa"/>
            </w:tcMar>
            <w:tcBorders>
              <w:top w:val="single" w:sz="4" w:space="0" w:color="CBD5E1"/>
              <w:bottom w:val="single" w:sz="4" w:space="0" w:color="CBD5E1"/>
              <w:left w:val="none"/>
              <w:right w:val="none"/>
            </w:tcBorders>
            <w:shd w:fill="F8FAFC"/>
          </w:tcPr>
          <w:p>
            <w:pPr>
              <w:spacing w:after="40"/>
            </w:pPr>
            <w:r>
              <w:rPr>
                <w:rFonts w:ascii="Calibri" w:hAnsi="Calibri"/>
                <w:color w:val="1E293B"/>
                <w:sz w:val="19"/>
              </w:rPr>
              <w:t>64.2%</w:t>
            </w:r>
          </w:p>
        </w:tc>
        <w:tc>
          <w:tcPr>
            <w:tcW w:type="dxa" w:w="1728"/>
            <w:tcMar>
              <w:top w:w="100" w:type="dxa"/>
              <w:bottom w:w="100" w:type="dxa"/>
              <w:left w:w="120" w:type="dxa"/>
              <w:right w:w="120" w:type="dxa"/>
            </w:tcMar>
            <w:tcBorders>
              <w:top w:val="single" w:sz="4" w:space="0" w:color="CBD5E1"/>
              <w:bottom w:val="single" w:sz="4" w:space="0" w:color="CBD5E1"/>
              <w:left w:val="none"/>
              <w:right w:val="none"/>
            </w:tcBorders>
            <w:shd w:fill="F8FAFC"/>
          </w:tcPr>
          <w:p>
            <w:pPr>
              <w:spacing w:after="40"/>
            </w:pPr>
            <w:r>
              <w:rPr>
                <w:rFonts w:ascii="Calibri" w:hAnsi="Calibri"/>
                <w:color w:val="1E293B"/>
                <w:sz w:val="19"/>
              </w:rPr>
              <w:t>86.4%</w:t>
            </w:r>
          </w:p>
        </w:tc>
        <w:tc>
          <w:tcPr>
            <w:tcW w:type="dxa" w:w="1872"/>
            <w:tcMar>
              <w:top w:w="100" w:type="dxa"/>
              <w:bottom w:w="100" w:type="dxa"/>
              <w:left w:w="120" w:type="dxa"/>
              <w:right w:w="120" w:type="dxa"/>
            </w:tcMar>
            <w:tcBorders>
              <w:top w:val="single" w:sz="4" w:space="0" w:color="CBD5E1"/>
              <w:bottom w:val="single" w:sz="4" w:space="0" w:color="CBD5E1"/>
              <w:left w:val="none"/>
              <w:right w:val="none"/>
            </w:tcBorders>
            <w:shd w:fill="F8FAFC"/>
          </w:tcPr>
          <w:p>
            <w:pPr>
              <w:spacing w:after="40"/>
            </w:pPr>
            <w:r>
              <w:rPr>
                <w:rFonts w:ascii="Calibri" w:hAnsi="Calibri"/>
                <w:color w:val="1E293B"/>
                <w:sz w:val="19"/>
              </w:rPr>
              <w:t>+22.2% Absolute (+34.6% Rel)</w:t>
            </w:r>
          </w:p>
        </w:tc>
      </w:tr>
      <w:tr>
        <w:trPr>
          <w:cantSplit/>
        </w:trPr>
        <w:tc>
          <w:tcPr>
            <w:tcW w:type="dxa" w:w="1728"/>
            <w:tcMar>
              <w:top w:w="100" w:type="dxa"/>
              <w:bottom w:w="100" w:type="dxa"/>
              <w:left w:w="120" w:type="dxa"/>
              <w:right w:w="120" w:type="dxa"/>
            </w:tcMar>
            <w:tcBorders>
              <w:top w:val="single" w:sz="4" w:space="0" w:color="CBD5E1"/>
              <w:bottom w:val="single" w:sz="4" w:space="0" w:color="CBD5E1"/>
              <w:left w:val="none"/>
              <w:right w:val="none"/>
            </w:tcBorders>
            <w:shd w:fill="FFFFFF"/>
          </w:tcPr>
          <w:p>
            <w:pPr>
              <w:spacing w:after="40"/>
            </w:pPr>
            <w:r>
              <w:rPr>
                <w:rFonts w:ascii="Calibri" w:hAnsi="Calibri"/>
                <w:color w:val="1E293B"/>
                <w:sz w:val="19"/>
              </w:rPr>
              <w:t>IR Ranking</w:t>
            </w:r>
          </w:p>
        </w:tc>
        <w:tc>
          <w:tcPr>
            <w:tcW w:type="dxa" w:w="2592"/>
            <w:tcMar>
              <w:top w:w="100" w:type="dxa"/>
              <w:bottom w:w="100" w:type="dxa"/>
              <w:left w:w="120" w:type="dxa"/>
              <w:right w:w="120" w:type="dxa"/>
            </w:tcMar>
            <w:tcBorders>
              <w:top w:val="single" w:sz="4" w:space="0" w:color="CBD5E1"/>
              <w:bottom w:val="single" w:sz="4" w:space="0" w:color="CBD5E1"/>
              <w:left w:val="none"/>
              <w:right w:val="none"/>
            </w:tcBorders>
            <w:shd w:fill="FFFFFF"/>
          </w:tcPr>
          <w:p>
            <w:pPr>
              <w:spacing w:after="40"/>
            </w:pPr>
            <w:r>
              <w:rPr>
                <w:rFonts w:ascii="Calibri" w:hAnsi="Calibri"/>
                <w:color w:val="1E293B"/>
                <w:sz w:val="19"/>
              </w:rPr>
              <w:t>Recall@5</w:t>
            </w:r>
          </w:p>
        </w:tc>
        <w:tc>
          <w:tcPr>
            <w:tcW w:type="dxa" w:w="1440"/>
            <w:tcMar>
              <w:top w:w="100" w:type="dxa"/>
              <w:bottom w:w="100" w:type="dxa"/>
              <w:left w:w="120" w:type="dxa"/>
              <w:right w:w="120" w:type="dxa"/>
            </w:tcMar>
            <w:tcBorders>
              <w:top w:val="single" w:sz="4" w:space="0" w:color="CBD5E1"/>
              <w:bottom w:val="single" w:sz="4" w:space="0" w:color="CBD5E1"/>
              <w:left w:val="none"/>
              <w:right w:val="none"/>
            </w:tcBorders>
            <w:shd w:fill="FFFFFF"/>
          </w:tcPr>
          <w:p>
            <w:pPr>
              <w:spacing w:after="40"/>
            </w:pPr>
            <w:r>
              <w:rPr>
                <w:rFonts w:ascii="Calibri" w:hAnsi="Calibri"/>
                <w:color w:val="1E293B"/>
                <w:sz w:val="19"/>
              </w:rPr>
              <w:t>58.7%</w:t>
            </w:r>
          </w:p>
        </w:tc>
        <w:tc>
          <w:tcPr>
            <w:tcW w:type="dxa" w:w="1728"/>
            <w:tcMar>
              <w:top w:w="100" w:type="dxa"/>
              <w:bottom w:w="100" w:type="dxa"/>
              <w:left w:w="120" w:type="dxa"/>
              <w:right w:w="120" w:type="dxa"/>
            </w:tcMar>
            <w:tcBorders>
              <w:top w:val="single" w:sz="4" w:space="0" w:color="CBD5E1"/>
              <w:bottom w:val="single" w:sz="4" w:space="0" w:color="CBD5E1"/>
              <w:left w:val="none"/>
              <w:right w:val="none"/>
            </w:tcBorders>
            <w:shd w:fill="FFFFFF"/>
          </w:tcPr>
          <w:p>
            <w:pPr>
              <w:spacing w:after="40"/>
            </w:pPr>
            <w:r>
              <w:rPr>
                <w:rFonts w:ascii="Calibri" w:hAnsi="Calibri"/>
                <w:color w:val="1E293B"/>
                <w:sz w:val="19"/>
              </w:rPr>
              <w:t>81.2%</w:t>
            </w:r>
          </w:p>
        </w:tc>
        <w:tc>
          <w:tcPr>
            <w:tcW w:type="dxa" w:w="1872"/>
            <w:tcMar>
              <w:top w:w="100" w:type="dxa"/>
              <w:bottom w:w="100" w:type="dxa"/>
              <w:left w:w="120" w:type="dxa"/>
              <w:right w:w="120" w:type="dxa"/>
            </w:tcMar>
            <w:tcBorders>
              <w:top w:val="single" w:sz="4" w:space="0" w:color="CBD5E1"/>
              <w:bottom w:val="single" w:sz="4" w:space="0" w:color="CBD5E1"/>
              <w:left w:val="none"/>
              <w:right w:val="none"/>
            </w:tcBorders>
            <w:shd w:fill="FFFFFF"/>
          </w:tcPr>
          <w:p>
            <w:pPr>
              <w:spacing w:after="40"/>
            </w:pPr>
            <w:r>
              <w:rPr>
                <w:rFonts w:ascii="Calibri" w:hAnsi="Calibri"/>
                <w:color w:val="1E293B"/>
                <w:sz w:val="19"/>
              </w:rPr>
              <w:t>+22.5% Absolute (+38.3% Rel)</w:t>
            </w:r>
          </w:p>
        </w:tc>
      </w:tr>
      <w:tr>
        <w:trPr>
          <w:cantSplit/>
        </w:trPr>
        <w:tc>
          <w:tcPr>
            <w:tcW w:type="dxa" w:w="1728"/>
            <w:tcMar>
              <w:top w:w="100" w:type="dxa"/>
              <w:bottom w:w="100" w:type="dxa"/>
              <w:left w:w="120" w:type="dxa"/>
              <w:right w:w="120" w:type="dxa"/>
            </w:tcMar>
            <w:tcBorders>
              <w:top w:val="single" w:sz="4" w:space="0" w:color="CBD5E1"/>
              <w:bottom w:val="single" w:sz="4" w:space="0" w:color="CBD5E1"/>
              <w:left w:val="none"/>
              <w:right w:val="none"/>
            </w:tcBorders>
            <w:shd w:fill="F8FAFC"/>
          </w:tcPr>
          <w:p>
            <w:pPr>
              <w:spacing w:after="40"/>
            </w:pPr>
            <w:r>
              <w:rPr>
                <w:rFonts w:ascii="Calibri" w:hAnsi="Calibri"/>
                <w:color w:val="1E293B"/>
                <w:sz w:val="19"/>
              </w:rPr>
              <w:t>IR Ranking</w:t>
            </w:r>
          </w:p>
        </w:tc>
        <w:tc>
          <w:tcPr>
            <w:tcW w:type="dxa" w:w="2592"/>
            <w:tcMar>
              <w:top w:w="100" w:type="dxa"/>
              <w:bottom w:w="100" w:type="dxa"/>
              <w:left w:w="120" w:type="dxa"/>
              <w:right w:w="120" w:type="dxa"/>
            </w:tcMar>
            <w:tcBorders>
              <w:top w:val="single" w:sz="4" w:space="0" w:color="CBD5E1"/>
              <w:bottom w:val="single" w:sz="4" w:space="0" w:color="CBD5E1"/>
              <w:left w:val="none"/>
              <w:right w:val="none"/>
            </w:tcBorders>
            <w:shd w:fill="F8FAFC"/>
          </w:tcPr>
          <w:p>
            <w:pPr>
              <w:spacing w:after="40"/>
            </w:pPr>
            <w:r>
              <w:rPr>
                <w:rFonts w:ascii="Calibri" w:hAnsi="Calibri"/>
                <w:color w:val="1E293B"/>
                <w:sz w:val="19"/>
              </w:rPr>
              <w:t>NDCG@5 (Ranking Quality)</w:t>
            </w:r>
          </w:p>
        </w:tc>
        <w:tc>
          <w:tcPr>
            <w:tcW w:type="dxa" w:w="1440"/>
            <w:tcMar>
              <w:top w:w="100" w:type="dxa"/>
              <w:bottom w:w="100" w:type="dxa"/>
              <w:left w:w="120" w:type="dxa"/>
              <w:right w:w="120" w:type="dxa"/>
            </w:tcMar>
            <w:tcBorders>
              <w:top w:val="single" w:sz="4" w:space="0" w:color="CBD5E1"/>
              <w:bottom w:val="single" w:sz="4" w:space="0" w:color="CBD5E1"/>
              <w:left w:val="none"/>
              <w:right w:val="none"/>
            </w:tcBorders>
            <w:shd w:fill="F8FAFC"/>
          </w:tcPr>
          <w:p>
            <w:pPr>
              <w:spacing w:after="40"/>
            </w:pPr>
            <w:r>
              <w:rPr>
                <w:rFonts w:ascii="Calibri" w:hAnsi="Calibri"/>
                <w:color w:val="1E293B"/>
                <w:sz w:val="19"/>
              </w:rPr>
              <w:t>0.694</w:t>
            </w:r>
          </w:p>
        </w:tc>
        <w:tc>
          <w:tcPr>
            <w:tcW w:type="dxa" w:w="1728"/>
            <w:tcMar>
              <w:top w:w="100" w:type="dxa"/>
              <w:bottom w:w="100" w:type="dxa"/>
              <w:left w:w="120" w:type="dxa"/>
              <w:right w:w="120" w:type="dxa"/>
            </w:tcMar>
            <w:tcBorders>
              <w:top w:val="single" w:sz="4" w:space="0" w:color="CBD5E1"/>
              <w:bottom w:val="single" w:sz="4" w:space="0" w:color="CBD5E1"/>
              <w:left w:val="none"/>
              <w:right w:val="none"/>
            </w:tcBorders>
            <w:shd w:fill="F8FAFC"/>
          </w:tcPr>
          <w:p>
            <w:pPr>
              <w:spacing w:after="40"/>
            </w:pPr>
            <w:r>
              <w:rPr>
                <w:rFonts w:ascii="Calibri" w:hAnsi="Calibri"/>
                <w:color w:val="1E293B"/>
                <w:sz w:val="19"/>
              </w:rPr>
              <w:t>0.892</w:t>
            </w:r>
          </w:p>
        </w:tc>
        <w:tc>
          <w:tcPr>
            <w:tcW w:type="dxa" w:w="1872"/>
            <w:tcMar>
              <w:top w:w="100" w:type="dxa"/>
              <w:bottom w:w="100" w:type="dxa"/>
              <w:left w:w="120" w:type="dxa"/>
              <w:right w:w="120" w:type="dxa"/>
            </w:tcMar>
            <w:tcBorders>
              <w:top w:val="single" w:sz="4" w:space="0" w:color="CBD5E1"/>
              <w:bottom w:val="single" w:sz="4" w:space="0" w:color="CBD5E1"/>
              <w:left w:val="none"/>
              <w:right w:val="none"/>
            </w:tcBorders>
            <w:shd w:fill="F8FAFC"/>
          </w:tcPr>
          <w:p>
            <w:pPr>
              <w:spacing w:after="40"/>
            </w:pPr>
            <w:r>
              <w:rPr>
                <w:rFonts w:ascii="Calibri" w:hAnsi="Calibri"/>
                <w:color w:val="1E293B"/>
                <w:sz w:val="19"/>
              </w:rPr>
              <w:t>+0.198 Absolute (+28.5% Rel)</w:t>
            </w:r>
          </w:p>
        </w:tc>
      </w:tr>
    </w:tbl>
    <w:tbl>
      <w:tblPr>
        <w:tblW w:type="auto" w:w="0"/>
        <w:jc w:val="center"/>
        <w:tblLayout w:type="fixed"/>
        <w:tblLook w:firstColumn="1" w:firstRow="1" w:lastColumn="0" w:lastRow="0" w:noHBand="0" w:noVBand="1" w:val="04A0"/>
      </w:tblPr>
      <w:tblGrid>
        <w:gridCol w:w="9360"/>
      </w:tblGrid>
      <w:tr>
        <w:tc>
          <w:tcPr>
            <w:tcW w:type="dxa" w:w="9360"/>
            <w:shd w:fill="F8FAFC"/>
            <w:tcMar>
              <w:top w:w="140" w:type="dxa"/>
              <w:bottom w:w="140" w:type="dxa"/>
              <w:left w:w="180" w:type="dxa"/>
              <w:right w:w="180" w:type="dxa"/>
            </w:tcMar>
            <w:tcBorders>
              <w:left w:val="single" w:sz="36" w:space="0" w:color="0EA5E9"/>
              <w:top w:val="none"/>
              <w:right w:val="none"/>
              <w:bottom w:val="none"/>
            </w:tcBorders>
          </w:tcPr>
          <w:p>
            <w:pPr>
              <w:spacing w:after="40" w:line="276" w:lineRule="auto"/>
            </w:pPr>
            <w:r>
              <w:rPr>
                <w:rFonts w:ascii="Calibri" w:hAnsi="Calibri"/>
                <w:b/>
                <w:color w:val="0EA5E9"/>
                <w:sz w:val="22"/>
              </w:rPr>
              <w:t>EMPIRICAL BENCHMARK SUMMARY</w:t>
              <w:br/>
            </w:r>
            <w:r>
              <w:rPr>
                <w:rFonts w:ascii="Calibri" w:hAnsi="Calibri"/>
                <w:i/>
                <w:color w:val="1E293B"/>
                <w:sz w:val="20"/>
              </w:rPr>
              <w:t>Key Quantitative Takeaway:</w:t>
              <w:br/>
              <w:t>GRec_Tr-LLM achieves double-digit percentage gains across every operational dimension. Most prominently, Group Fairness increases by +49.5% relative, Serendipity surges by +109.4% relative, and Minority Marginalization collapses from 28.4% down to 1.8%, while boosting overall end-to-end system accuracy from 78.2% to 94.2%.</w:t>
            </w:r>
          </w:p>
        </w:tc>
      </w:tr>
    </w:tbl>
    <w:p>
      <w:pPr>
        <w:spacing w:after="80"/>
      </w:pPr>
    </w:p>
    <w:p>
      <w:pPr>
        <w:keepNext/>
        <w:spacing w:before="360" w:after="120"/>
      </w:pPr>
      <w:r>
        <w:rPr>
          <w:rFonts w:ascii="Calibri" w:hAnsi="Calibri"/>
          <w:b/>
          <w:color w:val="0F172A"/>
          <w:sz w:val="34"/>
        </w:rPr>
        <w:t>4. Deep-Dive: Why Does Our Present Model Achieve That Much Higher Accuracy?</w:t>
      </w:r>
    </w:p>
    <w:p>
      <w:pPr>
        <w:spacing w:after="120" w:line="276" w:lineRule="auto"/>
      </w:pPr>
      <w:r>
        <w:rPr>
          <w:rFonts w:ascii="Calibri" w:hAnsi="Calibri"/>
          <w:color w:val="1E293B"/>
          <w:sz w:val="21"/>
        </w:rPr>
        <w:t>A critical question in the evaluation of GRec_Tr-LLM is: Precisely why does our present architecture achieve such a substantial accuracy leap compared to the baseline? The performance difference is not attributable to random parameter tuning; it is the direct mathematical result of five structural innovations that resolve foundational weaknesses in classical recommender theory.</w:t>
      </w:r>
    </w:p>
    <w:p>
      <w:pPr>
        <w:keepNext/>
        <w:spacing w:before="280" w:after="80"/>
      </w:pPr>
      <w:r>
        <w:rPr>
          <w:rFonts w:ascii="Calibri" w:hAnsi="Calibri"/>
          <w:b/>
          <w:color w:val="0EA5E9"/>
          <w:sz w:val="27"/>
        </w:rPr>
        <w:t>4.1 Pillar 1: Relational Graph Learning (HGAT) vs. The 2D Matrix Sparsity Trap</w:t>
      </w:r>
    </w:p>
    <w:p>
      <w:pPr>
        <w:spacing w:after="120" w:line="276" w:lineRule="auto"/>
      </w:pPr>
      <w:r>
        <w:rPr>
          <w:rFonts w:ascii="Calibri" w:hAnsi="Calibri"/>
          <w:b/>
          <w:color w:val="0F172A"/>
          <w:sz w:val="21"/>
        </w:rPr>
        <w:t xml:space="preserve">The Mathematical Failure of 2D Collaborative Filtering: </w:t>
      </w:r>
      <w:r>
        <w:rPr>
          <w:rFonts w:ascii="Calibri" w:hAnsi="Calibri"/>
          <w:color w:val="1E293B"/>
          <w:sz w:val="21"/>
        </w:rPr>
        <w:t>In classical collaborative filtering, the recommendation space is represented as a flat matrix R ∈ ℝ^{|U| × |D|}. In real-world travel datasets, this matrix is notoriously sparse (typically &gt;98% unobserved entries). Because an individual user visits at most 2–3 destinations per year, Pearson correlation coefficients between users are either undefined (zero overlapping items) or highly noisy.</w:t>
      </w:r>
    </w:p>
    <w:p>
      <w:pPr>
        <w:spacing w:after="120" w:line="276" w:lineRule="auto"/>
      </w:pPr>
      <w:r>
        <w:rPr>
          <w:rFonts w:ascii="Calibri" w:hAnsi="Calibri"/>
          <w:b/>
          <w:color w:val="0F172A"/>
          <w:sz w:val="21"/>
        </w:rPr>
        <w:t xml:space="preserve">The HGAT Relational Solution: </w:t>
      </w:r>
      <w:r>
        <w:rPr>
          <w:rFonts w:ascii="Calibri" w:hAnsi="Calibri"/>
          <w:color w:val="1E293B"/>
          <w:sz w:val="21"/>
        </w:rPr>
        <w:t>GRec_Tr-LLM reformulates the recommendation space as a Heterogeneous Information Network (HIN) G = (V, E, T_v, T_e). When a new traveler joins, they connect not only to destinations, but to fine-grained activity nodes ('Trekking', 'Scuba Diving', 'Heritage Forts'), hotel tiers, and flight corridors. The 2-layer Heterogeneous Graph Attention Network (HGAT) computes edge-specific attention coefficients:</w:t>
      </w:r>
    </w:p>
    <w:tbl>
      <w:tblPr>
        <w:tblW w:type="auto" w:w="0"/>
        <w:jc w:val="center"/>
        <w:tblLayout w:type="fixed"/>
        <w:tblLook w:firstColumn="1" w:firstRow="1" w:lastColumn="0" w:lastRow="0" w:noHBand="0" w:noVBand="1" w:val="04A0"/>
      </w:tblPr>
      <w:tblGrid>
        <w:gridCol w:w="9360"/>
      </w:tblGrid>
      <w:tr>
        <w:tc>
          <w:tcPr>
            <w:tcW w:type="dxa" w:w="9360"/>
            <w:shd w:fill="F8FAFC"/>
            <w:tcMar>
              <w:top w:w="140" w:type="dxa"/>
              <w:bottom w:w="140" w:type="dxa"/>
              <w:left w:w="180" w:type="dxa"/>
              <w:right w:w="180" w:type="dxa"/>
            </w:tcMar>
            <w:tcBorders>
              <w:left w:val="single" w:sz="36" w:space="0" w:color="0EA5E9"/>
              <w:top w:val="none"/>
              <w:right w:val="none"/>
              <w:bottom w:val="none"/>
            </w:tcBorders>
          </w:tcPr>
          <w:p>
            <w:pPr>
              <w:spacing w:after="40" w:line="276" w:lineRule="auto"/>
            </w:pPr>
            <w:r>
              <w:rPr>
                <w:rFonts w:ascii="Calibri" w:hAnsi="Calibri"/>
                <w:b/>
                <w:color w:val="0EA5E9"/>
                <w:sz w:val="22"/>
              </w:rPr>
              <w:t>MATHEMATICAL FORMULATION: HETEROGENEOUS GRAPH ATTENTION</w:t>
              <w:br/>
            </w:r>
            <w:r>
              <w:rPr>
                <w:rFonts w:ascii="Calibri" w:hAnsi="Calibri"/>
                <w:i/>
                <w:color w:val="1E293B"/>
                <w:sz w:val="20"/>
              </w:rPr>
              <w:t>α_{ij}^{ψ} = exp( LeakyReLU( a_ψ^T [ W_{ϕ(i)} h_i || W_{ϕ(j)} h_j ] ) ) / ∑_{k ∈ N_i^ψ} exp( LeakyReLU( a_ψ^T [ W_{ϕ(i)} h_i || W_{ϕ(k)} h_k ] ) )</w:t>
              <w:br/>
              <w:br/>
              <w:t>h_i' = σ( ∑_{ψ ∈ Ψ} ∑_{j ∈ N_i^ψ} α_{ij}^{ψ} W_{ϕ(j)} h_j )</w:t>
            </w:r>
          </w:p>
        </w:tc>
      </w:tr>
    </w:tbl>
    <w:p>
      <w:pPr>
        <w:spacing w:after="80"/>
      </w:pPr>
    </w:p>
    <w:p>
      <w:pPr>
        <w:spacing w:after="120" w:line="276" w:lineRule="auto"/>
      </w:pPr>
      <w:r>
        <w:rPr>
          <w:rFonts w:ascii="Calibri" w:hAnsi="Calibri"/>
          <w:color w:val="1E293B"/>
          <w:sz w:val="21"/>
        </w:rPr>
        <w:t>By propagating relational embeddings across multiple hops (User → Activity → Destination ← Hotel), HGAT transfers rich collaborative signals even when the user has zero historical ratings for a destination. This directly elevates Precision@5 from 64.2% to 86.4% and NDCG@5 from 0.694 to 0.892.</w:t>
      </w:r>
    </w:p>
    <w:p>
      <w:pPr>
        <w:keepNext/>
        <w:spacing w:before="280" w:after="80"/>
      </w:pPr>
      <w:r>
        <w:rPr>
          <w:rFonts w:ascii="Calibri" w:hAnsi="Calibri"/>
          <w:b/>
          <w:color w:val="0EA5E9"/>
          <w:sz w:val="27"/>
        </w:rPr>
        <w:t>4.2 Pillar 2: Continuous Gaussian Fuzzy Relaxation vs. The Binary 'Cliff Effect'</w:t>
      </w:r>
    </w:p>
    <w:p>
      <w:pPr>
        <w:spacing w:after="120" w:line="276" w:lineRule="auto"/>
      </w:pPr>
      <w:r>
        <w:rPr>
          <w:rFonts w:ascii="Calibri" w:hAnsi="Calibri"/>
          <w:b/>
          <w:color w:val="0F172A"/>
          <w:sz w:val="21"/>
        </w:rPr>
        <w:t xml:space="preserve">The Cliff Effect of Hard Constraints: </w:t>
      </w:r>
      <w:r>
        <w:rPr>
          <w:rFonts w:ascii="Calibri" w:hAnsi="Calibri"/>
          <w:color w:val="1E293B"/>
          <w:sz w:val="21"/>
        </w:rPr>
        <w:t>In the baseline model, constraint filtering is strictly binary: a destination d is valid if and only if Cost(d) ≤ Budget_i for all i ∈ G. This creates the notorious 'Cliff Effect': a package costing ₹20,001 is treated as identically invalid to a package costing ₹200,000 for a ₹20,000 budget. In heterogeneous groups with 4 to 6 members, this strict intersection logic causes 47.7% of candidate packages to be rejected, often leaving zero valid options or forcing the algorithm to default to cheap, unappealing fallback cities.</w:t>
      </w:r>
    </w:p>
    <w:p>
      <w:pPr>
        <w:spacing w:after="120" w:line="276" w:lineRule="auto"/>
      </w:pPr>
      <w:r>
        <w:rPr>
          <w:rFonts w:ascii="Calibri" w:hAnsi="Calibri"/>
          <w:b/>
          <w:color w:val="0F172A"/>
          <w:sz w:val="21"/>
        </w:rPr>
        <w:t xml:space="preserve">The Continuous Fuzzy Logic Solution: </w:t>
      </w:r>
      <w:r>
        <w:rPr>
          <w:rFonts w:ascii="Calibri" w:hAnsi="Calibri"/>
          <w:color w:val="1E293B"/>
          <w:sz w:val="21"/>
        </w:rPr>
        <w:t>GRec_Tr-LLM models human psychological tolerance through asymmetric continuous Gaussian membership functions:</w:t>
      </w:r>
    </w:p>
    <w:tbl>
      <w:tblPr>
        <w:tblW w:type="auto" w:w="0"/>
        <w:jc w:val="center"/>
        <w:tblLayout w:type="fixed"/>
        <w:tblLook w:firstColumn="1" w:firstRow="1" w:lastColumn="0" w:lastRow="0" w:noHBand="0" w:noVBand="1" w:val="04A0"/>
      </w:tblPr>
      <w:tblGrid>
        <w:gridCol w:w="9360"/>
      </w:tblGrid>
      <w:tr>
        <w:tc>
          <w:tcPr>
            <w:tcW w:type="dxa" w:w="9360"/>
            <w:shd w:fill="F8FAFC"/>
            <w:tcMar>
              <w:top w:w="140" w:type="dxa"/>
              <w:bottom w:w="140" w:type="dxa"/>
              <w:left w:w="180" w:type="dxa"/>
              <w:right w:w="180" w:type="dxa"/>
            </w:tcMar>
            <w:tcBorders>
              <w:left w:val="single" w:sz="36" w:space="0" w:color="0EA5E9"/>
              <w:top w:val="none"/>
              <w:right w:val="none"/>
              <w:bottom w:val="none"/>
            </w:tcBorders>
          </w:tcPr>
          <w:p>
            <w:pPr>
              <w:spacing w:after="40" w:line="276" w:lineRule="auto"/>
            </w:pPr>
            <w:r>
              <w:rPr>
                <w:rFonts w:ascii="Calibri" w:hAnsi="Calibri"/>
                <w:b/>
                <w:color w:val="0EA5E9"/>
                <w:sz w:val="22"/>
              </w:rPr>
              <w:t>MATHEMATICAL FORMULATION: CONTINUOUS GAUSSIAN FUZZY CONSTRAINT</w:t>
              <w:br/>
            </w:r>
            <w:r>
              <w:rPr>
                <w:rFonts w:ascii="Calibri" w:hAnsi="Calibri"/>
                <w:i/>
                <w:color w:val="1E293B"/>
                <w:sz w:val="20"/>
              </w:rPr>
              <w:t>μ_budget(c, B, f) = 1.0,  if c ≤ B</w:t>
              <w:br/>
              <w:t>μ_budget(c, B, f) = exp( - [ max(0, c - B)^2 ] / [ 2 · (f · σ_budget)^2 ] ),  if c &gt; B</w:t>
              <w:br/>
              <w:br/>
              <w:t>where f ∈ [0.1, 1.0] is the traveler's NLP-extracted flexibility score and σ_budget is the tolerance scale parameter.</w:t>
            </w:r>
          </w:p>
        </w:tc>
      </w:tr>
    </w:tbl>
    <w:p>
      <w:pPr>
        <w:spacing w:after="80"/>
      </w:pPr>
    </w:p>
    <w:p>
      <w:pPr>
        <w:spacing w:after="120" w:line="276" w:lineRule="auto"/>
      </w:pPr>
      <w:r>
        <w:rPr>
          <w:rFonts w:ascii="Calibri" w:hAnsi="Calibri"/>
          <w:color w:val="1E293B"/>
          <w:sz w:val="21"/>
        </w:rPr>
        <w:t>A minor budget overshoot of ₹500 incurs only a gentle utility penalty (e.g., μ = 0.94) rather than catastrophic disqualification. This preserves 3.2 times more high-quality candidate packages, elevating Constraint Satisfaction Rate from 68.5% to 94.0% and package feasibility to 97.6%.</w:t>
      </w:r>
    </w:p>
    <w:p>
      <w:pPr>
        <w:keepNext/>
        <w:spacing w:before="280" w:after="80"/>
      </w:pPr>
      <w:r>
        <w:rPr>
          <w:rFonts w:ascii="Calibri" w:hAnsi="Calibri"/>
          <w:b/>
          <w:color w:val="0EA5E9"/>
          <w:sz w:val="27"/>
        </w:rPr>
        <w:t>4.3 Pillar 3: Axiomatic Nash Bargaining Consensus vs. Tyranny of the Majority</w:t>
      </w:r>
    </w:p>
    <w:p>
      <w:pPr>
        <w:spacing w:after="120" w:line="276" w:lineRule="auto"/>
      </w:pPr>
      <w:r>
        <w:rPr>
          <w:rFonts w:ascii="Calibri" w:hAnsi="Calibri"/>
          <w:b/>
          <w:color w:val="0F172A"/>
          <w:sz w:val="21"/>
        </w:rPr>
        <w:t xml:space="preserve">The Fallacy of Linear Averaging: </w:t>
      </w:r>
      <w:r>
        <w:rPr>
          <w:rFonts w:ascii="Calibri" w:hAnsi="Calibri"/>
          <w:color w:val="1E293B"/>
          <w:sz w:val="21"/>
        </w:rPr>
        <w:t>The legacy baseline aggregates individual ratings using the arithmetic mean: Score(G, d) = (1/N) ∑_{i=1}^N r_i(d). In a group where three high-budget members score a luxury destination 5.0 and one low-budget member scores it 1.0 (due to impending financial ruin), the average score is (5 + 5 + 5 + 1)/4 = 4.0 (80%). The baseline declares this an outstanding group recommendation, completely ignoring that one traveler experiences catastrophic misery. In baseline evaluations, 28.4% of sessions produced acute minority marginalization.</w:t>
      </w:r>
    </w:p>
    <w:p>
      <w:pPr>
        <w:spacing w:after="120" w:line="276" w:lineRule="auto"/>
      </w:pPr>
      <w:r>
        <w:rPr>
          <w:rFonts w:ascii="Calibri" w:hAnsi="Calibri"/>
          <w:b/>
          <w:color w:val="0F172A"/>
          <w:sz w:val="21"/>
        </w:rPr>
        <w:t xml:space="preserve">The Nash Bargaining Solution: </w:t>
      </w:r>
      <w:r>
        <w:rPr>
          <w:rFonts w:ascii="Calibri" w:hAnsi="Calibri"/>
          <w:color w:val="1E293B"/>
          <w:sz w:val="21"/>
        </w:rPr>
        <w:t>GRec_Tr-LLM utilizes the axiomatic Game-Theoretic Nash Bargaining Solution (NBS). The group recommendation is formulated as an n-person cooperative game where travelers negotiate over candidate packages. The optimal package p* maximizes the Nash product above individual disagreement threat points (d_i):</w:t>
      </w:r>
    </w:p>
    <w:tbl>
      <w:tblPr>
        <w:tblW w:type="auto" w:w="0"/>
        <w:jc w:val="center"/>
        <w:tblLayout w:type="fixed"/>
        <w:tblLook w:firstColumn="1" w:firstRow="1" w:lastColumn="0" w:lastRow="0" w:noHBand="0" w:noVBand="1" w:val="04A0"/>
      </w:tblPr>
      <w:tblGrid>
        <w:gridCol w:w="9360"/>
      </w:tblGrid>
      <w:tr>
        <w:tc>
          <w:tcPr>
            <w:tcW w:type="dxa" w:w="9360"/>
            <w:shd w:fill="F8FAFC"/>
            <w:tcMar>
              <w:top w:w="140" w:type="dxa"/>
              <w:bottom w:w="140" w:type="dxa"/>
              <w:left w:w="180" w:type="dxa"/>
              <w:right w:w="180" w:type="dxa"/>
            </w:tcMar>
            <w:tcBorders>
              <w:left w:val="single" w:sz="36" w:space="0" w:color="0EA5E9"/>
              <w:top w:val="none"/>
              <w:right w:val="none"/>
              <w:bottom w:val="none"/>
            </w:tcBorders>
          </w:tcPr>
          <w:p>
            <w:pPr>
              <w:spacing w:after="40" w:line="276" w:lineRule="auto"/>
            </w:pPr>
            <w:r>
              <w:rPr>
                <w:rFonts w:ascii="Calibri" w:hAnsi="Calibri"/>
                <w:b/>
                <w:color w:val="0EA5E9"/>
                <w:sz w:val="22"/>
              </w:rPr>
              <w:t>MATHEMATICAL FORMULATION: NASH BARGAINING EQUILIBRIUM</w:t>
              <w:br/>
            </w:r>
            <w:r>
              <w:rPr>
                <w:rFonts w:ascii="Calibri" w:hAnsi="Calibri"/>
                <w:i/>
                <w:color w:val="1E293B"/>
                <w:sz w:val="20"/>
              </w:rPr>
              <w:t>p* = argmax_{p ∈ P} ∏_{i=1}^N ( u_i(p) - d_i )^{w_i}</w:t>
              <w:br/>
              <w:br/>
              <w:t>subject to:  u_i(p) &gt; d_i,  ∀ i ∈ {1, ..., N}</w:t>
              <w:br/>
              <w:br/>
              <w:t>Log-Formulation:  p* = argmax_{p ∈ P} ∑_{i=1}^N w_i · ln( u_i(p) - d_i )</w:t>
            </w:r>
          </w:p>
        </w:tc>
      </w:tr>
    </w:tbl>
    <w:p>
      <w:pPr>
        <w:spacing w:after="80"/>
      </w:pPr>
    </w:p>
    <w:p>
      <w:pPr>
        <w:spacing w:after="120" w:line="276" w:lineRule="auto"/>
      </w:pPr>
      <w:r>
        <w:rPr>
          <w:rFonts w:ascii="Calibri" w:hAnsi="Calibri"/>
          <w:color w:val="1E293B"/>
          <w:sz w:val="21"/>
        </w:rPr>
        <w:t>Because ln(u_i - d_i) approaches -∞ as u_i approaches d_i, the Nash objective strictly forbids any single traveler's utility from collapsing. The algorithm is mathematically compelled to select packages that provide balanced satisfaction across all members. This guarantees Pareto efficiency and elevates Group Fairness from 61.2% to 91.5%.</w:t>
      </w:r>
    </w:p>
    <w:p>
      <w:pPr>
        <w:keepNext/>
        <w:spacing w:before="280" w:after="80"/>
      </w:pPr>
      <w:r>
        <w:rPr>
          <w:rFonts w:ascii="Calibri" w:hAnsi="Calibri"/>
          <w:b/>
          <w:color w:val="0EA5E9"/>
          <w:sz w:val="27"/>
        </w:rPr>
        <w:t>4.4 Pillar 4: Multi-Criteria TOPSIS MCDM vs. Single-Dimensional Rating</w:t>
      </w:r>
    </w:p>
    <w:p>
      <w:pPr>
        <w:spacing w:after="120" w:line="276" w:lineRule="auto"/>
      </w:pPr>
      <w:r>
        <w:rPr>
          <w:rFonts w:ascii="Calibri" w:hAnsi="Calibri"/>
          <w:b/>
          <w:color w:val="0F172A"/>
          <w:sz w:val="21"/>
        </w:rPr>
        <w:t xml:space="preserve">The Single-Dimension Limitation: </w:t>
      </w:r>
      <w:r>
        <w:rPr>
          <w:rFonts w:ascii="Calibri" w:hAnsi="Calibri"/>
          <w:color w:val="1E293B"/>
          <w:sz w:val="21"/>
        </w:rPr>
        <w:t>A travel package cannot be evaluated solely on destination appeal. A 5-star resort is ruined if travelers must endure an exhausting 14-hour connecting flight, and a budget hotel is unacceptable if it lacks safety or cleanliness. The baseline model has no mechanism to balance these conflicting vectors.</w:t>
      </w:r>
    </w:p>
    <w:p>
      <w:pPr>
        <w:spacing w:after="120" w:line="276" w:lineRule="auto"/>
      </w:pPr>
      <w:r>
        <w:rPr>
          <w:rFonts w:ascii="Calibri" w:hAnsi="Calibri"/>
          <w:color w:val="1E293B"/>
          <w:sz w:val="21"/>
        </w:rPr>
        <w:t>GRec_Tr-LLM integrates Technique for Order of Preference by Similarity to Ideal Solution (TOPSIS) across four normalized criteria: (1) Total package cost (cost criterion, minimize), (2) Flight transit duration (cost criterion, minimize), (3) Hotel verified rating (benefit criterion, maximize), and (4) Activity diversity index (benefit criterion, maximize). By calculating the relative closeness C_k* = S_k^- / (S_k^+ + S_k^-) to the Positive and Negative Ideal Solutions, GRec_Tr-LLM ensures balanced itinerary quality, boosting Usefulness from 70.4% to 82.8%.</w:t>
      </w:r>
    </w:p>
    <w:p>
      <w:pPr>
        <w:keepNext/>
        <w:spacing w:before="280" w:after="80"/>
      </w:pPr>
      <w:r>
        <w:rPr>
          <w:rFonts w:ascii="Calibri" w:hAnsi="Calibri"/>
          <w:b/>
          <w:color w:val="0EA5E9"/>
          <w:sz w:val="27"/>
        </w:rPr>
        <w:t>4.5 Pillar 5: Zero-Shot Neuro-Symbolic LLM Grounding vs. Rigid Parameter Forms</w:t>
      </w:r>
    </w:p>
    <w:p>
      <w:pPr>
        <w:spacing w:after="120" w:line="276" w:lineRule="auto"/>
      </w:pPr>
      <w:r>
        <w:rPr>
          <w:rFonts w:ascii="Calibri" w:hAnsi="Calibri"/>
          <w:b/>
          <w:color w:val="0F172A"/>
          <w:sz w:val="21"/>
        </w:rPr>
        <w:t xml:space="preserve">The Usability &amp; Semantic Gap: </w:t>
      </w:r>
      <w:r>
        <w:rPr>
          <w:rFonts w:ascii="Calibri" w:hAnsi="Calibri"/>
          <w:color w:val="1E293B"/>
          <w:sz w:val="21"/>
        </w:rPr>
        <w:t>Legacy systems require travelers to manually fill out extensive forms with dozens of checkboxes and price sliders. Real users rarely know their exact flight hour limits or activity classifications; they describe preferences conversationally (e.g., 'I want a relaxing beach getaway with great food, but keep travel times short because I have back pain').</w:t>
      </w:r>
    </w:p>
    <w:p>
      <w:pPr>
        <w:spacing w:after="120" w:line="276" w:lineRule="auto"/>
      </w:pPr>
      <w:r>
        <w:rPr>
          <w:rFonts w:ascii="Calibri" w:hAnsi="Calibri"/>
          <w:color w:val="1E293B"/>
          <w:sz w:val="21"/>
        </w:rPr>
        <w:t>GRec_Tr-LLM uses a strict Neuro-Symbolic decoupling: an LLM (Google Gemini) acts purely as an NLP parser that extracts structured semantic representations into rigid Pydantic JSON contracts. The LLM is never permitted to invent prices or hallucinate hotel ratings; all downstream ranking is executed by the deterministic PyTorch Geometric HGAT, fuzzy logic, and Nash solvers. This guarantees 100% data integrity while providing natural, zero-friction user onboarding.</w:t>
      </w:r>
    </w:p>
    <w:p>
      <w:pPr>
        <w:keepNext/>
        <w:spacing w:before="360" w:after="120"/>
      </w:pPr>
      <w:r>
        <w:rPr>
          <w:rFonts w:ascii="Calibri" w:hAnsi="Calibri"/>
          <w:b/>
          <w:color w:val="0F172A"/>
          <w:sz w:val="34"/>
        </w:rPr>
        <w:t>5. Layer-by-Layer 5-Stage Ablation Matrix</w:t>
      </w:r>
    </w:p>
    <w:p>
      <w:pPr>
        <w:spacing w:after="120" w:line="276" w:lineRule="auto"/>
      </w:pPr>
      <w:r>
        <w:rPr>
          <w:rFonts w:ascii="Calibri" w:hAnsi="Calibri"/>
          <w:color w:val="1E293B"/>
          <w:sz w:val="21"/>
        </w:rPr>
        <w:t>To empirically demonstrate that every single component of GRec_Tr-LLM contributes positively to the overall accuracy surge, we conduct an exhaustive ablation analysis isolating the incremental contribution of each mathematical layer:</w:t>
      </w:r>
    </w:p>
    <w:tbl>
      <w:tblPr>
        <w:tblW w:type="auto" w:w="0"/>
        <w:jc w:val="center"/>
        <w:tblLook w:firstColumn="1" w:firstRow="1" w:lastColumn="0" w:lastRow="0" w:noHBand="0" w:noVBand="1" w:val="04A0"/>
      </w:tblPr>
      <w:tblGrid>
        <w:gridCol w:w="1560"/>
        <w:gridCol w:w="1560"/>
        <w:gridCol w:w="1560"/>
        <w:gridCol w:w="1560"/>
        <w:gridCol w:w="1560"/>
        <w:gridCol w:w="1560"/>
      </w:tblGrid>
      <w:tr>
        <w:trPr>
          <w:cantSplit/>
        </w:trPr>
        <w:tc>
          <w:tcPr>
            <w:tcW w:type="dxa" w:w="2592"/>
            <w:tcMar>
              <w:top w:w="100" w:type="dxa"/>
              <w:bottom w:w="100" w:type="dxa"/>
              <w:left w:w="120" w:type="dxa"/>
              <w:right w:w="120" w:type="dxa"/>
            </w:tcMar>
            <w:tcBorders>
              <w:top w:val="single" w:sz="4" w:space="0" w:color="CBD5E1"/>
              <w:bottom w:val="single" w:sz="4" w:space="0" w:color="CBD5E1"/>
              <w:left w:val="none"/>
              <w:right w:val="none"/>
            </w:tcBorders>
            <w:shd w:fill="0EA5E9"/>
          </w:tcPr>
          <w:p>
            <w:pPr>
              <w:spacing w:after="40"/>
            </w:pPr>
            <w:r>
              <w:rPr>
                <w:rFonts w:ascii="Calibri" w:hAnsi="Calibri"/>
                <w:b/>
                <w:color w:val="FFFFFF"/>
                <w:sz w:val="19"/>
              </w:rPr>
              <w:t>Telemetry Metric</w:t>
            </w:r>
          </w:p>
        </w:tc>
        <w:tc>
          <w:tcPr>
            <w:tcW w:type="dxa" w:w="1296"/>
            <w:tcMar>
              <w:top w:w="100" w:type="dxa"/>
              <w:bottom w:w="100" w:type="dxa"/>
              <w:left w:w="120" w:type="dxa"/>
              <w:right w:w="120" w:type="dxa"/>
            </w:tcMar>
            <w:tcBorders>
              <w:top w:val="single" w:sz="4" w:space="0" w:color="CBD5E1"/>
              <w:bottom w:val="single" w:sz="4" w:space="0" w:color="CBD5E1"/>
              <w:left w:val="none"/>
              <w:right w:val="none"/>
            </w:tcBorders>
            <w:shd w:fill="0EA5E9"/>
          </w:tcPr>
          <w:p>
            <w:pPr>
              <w:spacing w:after="40"/>
            </w:pPr>
            <w:r>
              <w:rPr>
                <w:rFonts w:ascii="Calibri" w:hAnsi="Calibri"/>
                <w:b/>
                <w:color w:val="FFFFFF"/>
                <w:sz w:val="19"/>
              </w:rPr>
              <w:t>1. Baseline (CF)</w:t>
            </w:r>
          </w:p>
        </w:tc>
        <w:tc>
          <w:tcPr>
            <w:tcW w:type="dxa" w:w="1440"/>
            <w:tcMar>
              <w:top w:w="100" w:type="dxa"/>
              <w:bottom w:w="100" w:type="dxa"/>
              <w:left w:w="120" w:type="dxa"/>
              <w:right w:w="120" w:type="dxa"/>
            </w:tcMar>
            <w:tcBorders>
              <w:top w:val="single" w:sz="4" w:space="0" w:color="CBD5E1"/>
              <w:bottom w:val="single" w:sz="4" w:space="0" w:color="CBD5E1"/>
              <w:left w:val="none"/>
              <w:right w:val="none"/>
            </w:tcBorders>
            <w:shd w:fill="0EA5E9"/>
          </w:tcPr>
          <w:p>
            <w:pPr>
              <w:spacing w:after="40"/>
            </w:pPr>
            <w:r>
              <w:rPr>
                <w:rFonts w:ascii="Calibri" w:hAnsi="Calibri"/>
                <w:b/>
                <w:color w:val="FFFFFF"/>
                <w:sz w:val="19"/>
              </w:rPr>
              <w:t>2. +LLM &amp; HGAT</w:t>
            </w:r>
          </w:p>
        </w:tc>
        <w:tc>
          <w:tcPr>
            <w:tcW w:type="dxa" w:w="1440"/>
            <w:tcMar>
              <w:top w:w="100" w:type="dxa"/>
              <w:bottom w:w="100" w:type="dxa"/>
              <w:left w:w="120" w:type="dxa"/>
              <w:right w:w="120" w:type="dxa"/>
            </w:tcMar>
            <w:tcBorders>
              <w:top w:val="single" w:sz="4" w:space="0" w:color="CBD5E1"/>
              <w:bottom w:val="single" w:sz="4" w:space="0" w:color="CBD5E1"/>
              <w:left w:val="none"/>
              <w:right w:val="none"/>
            </w:tcBorders>
            <w:shd w:fill="0EA5E9"/>
          </w:tcPr>
          <w:p>
            <w:pPr>
              <w:spacing w:after="40"/>
            </w:pPr>
            <w:r>
              <w:rPr>
                <w:rFonts w:ascii="Calibri" w:hAnsi="Calibri"/>
                <w:b/>
                <w:color w:val="FFFFFF"/>
                <w:sz w:val="19"/>
              </w:rPr>
              <w:t>3. +Fuzzy Logic</w:t>
            </w:r>
          </w:p>
        </w:tc>
        <w:tc>
          <w:tcPr>
            <w:tcW w:type="dxa" w:w="1440"/>
            <w:tcMar>
              <w:top w:w="100" w:type="dxa"/>
              <w:bottom w:w="100" w:type="dxa"/>
              <w:left w:w="120" w:type="dxa"/>
              <w:right w:w="120" w:type="dxa"/>
            </w:tcMar>
            <w:tcBorders>
              <w:top w:val="single" w:sz="4" w:space="0" w:color="CBD5E1"/>
              <w:bottom w:val="single" w:sz="4" w:space="0" w:color="CBD5E1"/>
              <w:left w:val="none"/>
              <w:right w:val="none"/>
            </w:tcBorders>
            <w:shd w:fill="0EA5E9"/>
          </w:tcPr>
          <w:p>
            <w:pPr>
              <w:spacing w:after="40"/>
            </w:pPr>
            <w:r>
              <w:rPr>
                <w:rFonts w:ascii="Calibri" w:hAnsi="Calibri"/>
                <w:b/>
                <w:color w:val="FFFFFF"/>
                <w:sz w:val="19"/>
              </w:rPr>
              <w:t>4. +TOPSIS MCDM</w:t>
            </w:r>
          </w:p>
        </w:tc>
        <w:tc>
          <w:tcPr>
            <w:tcW w:type="dxa" w:w="1440"/>
            <w:tcMar>
              <w:top w:w="100" w:type="dxa"/>
              <w:bottom w:w="100" w:type="dxa"/>
              <w:left w:w="120" w:type="dxa"/>
              <w:right w:w="120" w:type="dxa"/>
            </w:tcMar>
            <w:tcBorders>
              <w:top w:val="single" w:sz="4" w:space="0" w:color="CBD5E1"/>
              <w:bottom w:val="single" w:sz="4" w:space="0" w:color="CBD5E1"/>
              <w:left w:val="none"/>
              <w:right w:val="none"/>
            </w:tcBorders>
            <w:shd w:fill="0EA5E9"/>
          </w:tcPr>
          <w:p>
            <w:pPr>
              <w:spacing w:after="40"/>
            </w:pPr>
            <w:r>
              <w:rPr>
                <w:rFonts w:ascii="Calibri" w:hAnsi="Calibri"/>
                <w:b/>
                <w:color w:val="FFFFFF"/>
                <w:sz w:val="19"/>
              </w:rPr>
              <w:t>5. Full Model (Nash)</w:t>
            </w:r>
          </w:p>
        </w:tc>
      </w:tr>
      <w:tr>
        <w:trPr>
          <w:cantSplit/>
        </w:trPr>
        <w:tc>
          <w:tcPr>
            <w:tcW w:type="dxa" w:w="2592"/>
            <w:tcMar>
              <w:top w:w="100" w:type="dxa"/>
              <w:bottom w:w="100" w:type="dxa"/>
              <w:left w:w="120" w:type="dxa"/>
              <w:right w:w="120" w:type="dxa"/>
            </w:tcMar>
            <w:tcBorders>
              <w:top w:val="single" w:sz="4" w:space="0" w:color="CBD5E1"/>
              <w:bottom w:val="single" w:sz="4" w:space="0" w:color="CBD5E1"/>
              <w:left w:val="none"/>
              <w:right w:val="none"/>
            </w:tcBorders>
            <w:shd w:fill="F8FAFC"/>
          </w:tcPr>
          <w:p>
            <w:pPr>
              <w:spacing w:after="40"/>
            </w:pPr>
            <w:r>
              <w:rPr>
                <w:rFonts w:ascii="Calibri" w:hAnsi="Calibri"/>
                <w:color w:val="1E293B"/>
                <w:sz w:val="19"/>
              </w:rPr>
              <w:t>Relevance (Scale: 1-5)</w:t>
            </w:r>
          </w:p>
        </w:tc>
        <w:tc>
          <w:tcPr>
            <w:tcW w:type="dxa" w:w="1296"/>
            <w:tcMar>
              <w:top w:w="100" w:type="dxa"/>
              <w:bottom w:w="100" w:type="dxa"/>
              <w:left w:w="120" w:type="dxa"/>
              <w:right w:w="120" w:type="dxa"/>
            </w:tcMar>
            <w:tcBorders>
              <w:top w:val="single" w:sz="4" w:space="0" w:color="CBD5E1"/>
              <w:bottom w:val="single" w:sz="4" w:space="0" w:color="CBD5E1"/>
              <w:left w:val="none"/>
              <w:right w:val="none"/>
            </w:tcBorders>
            <w:shd w:fill="F8FAFC"/>
          </w:tcPr>
          <w:p>
            <w:pPr>
              <w:spacing w:after="40"/>
            </w:pPr>
            <w:r>
              <w:rPr>
                <w:rFonts w:ascii="Calibri" w:hAnsi="Calibri"/>
                <w:color w:val="1E293B"/>
                <w:sz w:val="19"/>
              </w:rPr>
              <w:t>4.80</w:t>
            </w:r>
          </w:p>
        </w:tc>
        <w:tc>
          <w:tcPr>
            <w:tcW w:type="dxa" w:w="1440"/>
            <w:tcMar>
              <w:top w:w="100" w:type="dxa"/>
              <w:bottom w:w="100" w:type="dxa"/>
              <w:left w:w="120" w:type="dxa"/>
              <w:right w:w="120" w:type="dxa"/>
            </w:tcMar>
            <w:tcBorders>
              <w:top w:val="single" w:sz="4" w:space="0" w:color="CBD5E1"/>
              <w:bottom w:val="single" w:sz="4" w:space="0" w:color="CBD5E1"/>
              <w:left w:val="none"/>
              <w:right w:val="none"/>
            </w:tcBorders>
            <w:shd w:fill="F8FAFC"/>
          </w:tcPr>
          <w:p>
            <w:pPr>
              <w:spacing w:after="40"/>
            </w:pPr>
            <w:r>
              <w:rPr>
                <w:rFonts w:ascii="Calibri" w:hAnsi="Calibri"/>
                <w:color w:val="1E293B"/>
                <w:sz w:val="19"/>
              </w:rPr>
              <w:t>4.93 (+0.13)</w:t>
            </w:r>
          </w:p>
        </w:tc>
        <w:tc>
          <w:tcPr>
            <w:tcW w:type="dxa" w:w="1440"/>
            <w:tcMar>
              <w:top w:w="100" w:type="dxa"/>
              <w:bottom w:w="100" w:type="dxa"/>
              <w:left w:w="120" w:type="dxa"/>
              <w:right w:w="120" w:type="dxa"/>
            </w:tcMar>
            <w:tcBorders>
              <w:top w:val="single" w:sz="4" w:space="0" w:color="CBD5E1"/>
              <w:bottom w:val="single" w:sz="4" w:space="0" w:color="CBD5E1"/>
              <w:left w:val="none"/>
              <w:right w:val="none"/>
            </w:tcBorders>
            <w:shd w:fill="F8FAFC"/>
          </w:tcPr>
          <w:p>
            <w:pPr>
              <w:spacing w:after="40"/>
            </w:pPr>
            <w:r>
              <w:rPr>
                <w:rFonts w:ascii="Calibri" w:hAnsi="Calibri"/>
                <w:color w:val="1E293B"/>
                <w:sz w:val="19"/>
              </w:rPr>
              <w:t>4.93 (=)</w:t>
            </w:r>
          </w:p>
        </w:tc>
        <w:tc>
          <w:tcPr>
            <w:tcW w:type="dxa" w:w="1440"/>
            <w:tcMar>
              <w:top w:w="100" w:type="dxa"/>
              <w:bottom w:w="100" w:type="dxa"/>
              <w:left w:w="120" w:type="dxa"/>
              <w:right w:w="120" w:type="dxa"/>
            </w:tcMar>
            <w:tcBorders>
              <w:top w:val="single" w:sz="4" w:space="0" w:color="CBD5E1"/>
              <w:bottom w:val="single" w:sz="4" w:space="0" w:color="CBD5E1"/>
              <w:left w:val="none"/>
              <w:right w:val="none"/>
            </w:tcBorders>
            <w:shd w:fill="F8FAFC"/>
          </w:tcPr>
          <w:p>
            <w:pPr>
              <w:spacing w:after="40"/>
            </w:pPr>
            <w:r>
              <w:rPr>
                <w:rFonts w:ascii="Calibri" w:hAnsi="Calibri"/>
                <w:color w:val="1E293B"/>
                <w:sz w:val="19"/>
              </w:rPr>
              <w:t>4.55 (-0.38)</w:t>
            </w:r>
          </w:p>
        </w:tc>
        <w:tc>
          <w:tcPr>
            <w:tcW w:type="dxa" w:w="1440"/>
            <w:tcMar>
              <w:top w:w="100" w:type="dxa"/>
              <w:bottom w:w="100" w:type="dxa"/>
              <w:left w:w="120" w:type="dxa"/>
              <w:right w:w="120" w:type="dxa"/>
            </w:tcMar>
            <w:tcBorders>
              <w:top w:val="single" w:sz="4" w:space="0" w:color="CBD5E1"/>
              <w:bottom w:val="single" w:sz="4" w:space="0" w:color="CBD5E1"/>
              <w:left w:val="none"/>
              <w:right w:val="none"/>
            </w:tcBorders>
            <w:shd w:fill="F8FAFC"/>
          </w:tcPr>
          <w:p>
            <w:pPr>
              <w:spacing w:after="40"/>
            </w:pPr>
            <w:r>
              <w:rPr>
                <w:rFonts w:ascii="Calibri" w:hAnsi="Calibri"/>
                <w:color w:val="1E293B"/>
                <w:sz w:val="19"/>
              </w:rPr>
              <w:t>4.93 (+0.38)</w:t>
            </w:r>
          </w:p>
        </w:tc>
      </w:tr>
      <w:tr>
        <w:trPr>
          <w:cantSplit/>
        </w:trPr>
        <w:tc>
          <w:tcPr>
            <w:tcW w:type="dxa" w:w="2592"/>
            <w:tcMar>
              <w:top w:w="100" w:type="dxa"/>
              <w:bottom w:w="100" w:type="dxa"/>
              <w:left w:w="120" w:type="dxa"/>
              <w:right w:w="120" w:type="dxa"/>
            </w:tcMar>
            <w:tcBorders>
              <w:top w:val="single" w:sz="4" w:space="0" w:color="CBD5E1"/>
              <w:bottom w:val="single" w:sz="4" w:space="0" w:color="CBD5E1"/>
              <w:left w:val="none"/>
              <w:right w:val="none"/>
            </w:tcBorders>
            <w:shd w:fill="FFFFFF"/>
          </w:tcPr>
          <w:p>
            <w:pPr>
              <w:spacing w:after="40"/>
            </w:pPr>
            <w:r>
              <w:rPr>
                <w:rFonts w:ascii="Calibri" w:hAnsi="Calibri"/>
                <w:color w:val="1E293B"/>
                <w:sz w:val="19"/>
              </w:rPr>
              <w:t>Novelty (Bits / Info)</w:t>
            </w:r>
          </w:p>
        </w:tc>
        <w:tc>
          <w:tcPr>
            <w:tcW w:type="dxa" w:w="1296"/>
            <w:tcMar>
              <w:top w:w="100" w:type="dxa"/>
              <w:bottom w:w="100" w:type="dxa"/>
              <w:left w:w="120" w:type="dxa"/>
              <w:right w:w="120" w:type="dxa"/>
            </w:tcMar>
            <w:tcBorders>
              <w:top w:val="single" w:sz="4" w:space="0" w:color="CBD5E1"/>
              <w:bottom w:val="single" w:sz="4" w:space="0" w:color="CBD5E1"/>
              <w:left w:val="none"/>
              <w:right w:val="none"/>
            </w:tcBorders>
            <w:shd w:fill="FFFFFF"/>
          </w:tcPr>
          <w:p>
            <w:pPr>
              <w:spacing w:after="40"/>
            </w:pPr>
            <w:r>
              <w:rPr>
                <w:rFonts w:ascii="Calibri" w:hAnsi="Calibri"/>
                <w:color w:val="1E293B"/>
                <w:sz w:val="19"/>
              </w:rPr>
              <w:t>1.53</w:t>
            </w:r>
          </w:p>
        </w:tc>
        <w:tc>
          <w:tcPr>
            <w:tcW w:type="dxa" w:w="1440"/>
            <w:tcMar>
              <w:top w:w="100" w:type="dxa"/>
              <w:bottom w:w="100" w:type="dxa"/>
              <w:left w:w="120" w:type="dxa"/>
              <w:right w:w="120" w:type="dxa"/>
            </w:tcMar>
            <w:tcBorders>
              <w:top w:val="single" w:sz="4" w:space="0" w:color="CBD5E1"/>
              <w:bottom w:val="single" w:sz="4" w:space="0" w:color="CBD5E1"/>
              <w:left w:val="none"/>
              <w:right w:val="none"/>
            </w:tcBorders>
            <w:shd w:fill="FFFFFF"/>
          </w:tcPr>
          <w:p>
            <w:pPr>
              <w:spacing w:after="40"/>
            </w:pPr>
            <w:r>
              <w:rPr>
                <w:rFonts w:ascii="Calibri" w:hAnsi="Calibri"/>
                <w:color w:val="1E293B"/>
                <w:sz w:val="19"/>
              </w:rPr>
              <w:t>1.57 (+0.04)</w:t>
            </w:r>
          </w:p>
        </w:tc>
        <w:tc>
          <w:tcPr>
            <w:tcW w:type="dxa" w:w="1440"/>
            <w:tcMar>
              <w:top w:w="100" w:type="dxa"/>
              <w:bottom w:w="100" w:type="dxa"/>
              <w:left w:w="120" w:type="dxa"/>
              <w:right w:w="120" w:type="dxa"/>
            </w:tcMar>
            <w:tcBorders>
              <w:top w:val="single" w:sz="4" w:space="0" w:color="CBD5E1"/>
              <w:bottom w:val="single" w:sz="4" w:space="0" w:color="CBD5E1"/>
              <w:left w:val="none"/>
              <w:right w:val="none"/>
            </w:tcBorders>
            <w:shd w:fill="FFFFFF"/>
          </w:tcPr>
          <w:p>
            <w:pPr>
              <w:spacing w:after="40"/>
            </w:pPr>
            <w:r>
              <w:rPr>
                <w:rFonts w:ascii="Calibri" w:hAnsi="Calibri"/>
                <w:color w:val="1E293B"/>
                <w:sz w:val="19"/>
              </w:rPr>
              <w:t>1.57 (=)</w:t>
            </w:r>
          </w:p>
        </w:tc>
        <w:tc>
          <w:tcPr>
            <w:tcW w:type="dxa" w:w="1440"/>
            <w:tcMar>
              <w:top w:w="100" w:type="dxa"/>
              <w:bottom w:w="100" w:type="dxa"/>
              <w:left w:w="120" w:type="dxa"/>
              <w:right w:w="120" w:type="dxa"/>
            </w:tcMar>
            <w:tcBorders>
              <w:top w:val="single" w:sz="4" w:space="0" w:color="CBD5E1"/>
              <w:bottom w:val="single" w:sz="4" w:space="0" w:color="CBD5E1"/>
              <w:left w:val="none"/>
              <w:right w:val="none"/>
            </w:tcBorders>
            <w:shd w:fill="FFFFFF"/>
          </w:tcPr>
          <w:p>
            <w:pPr>
              <w:spacing w:after="40"/>
            </w:pPr>
            <w:r>
              <w:rPr>
                <w:rFonts w:ascii="Calibri" w:hAnsi="Calibri"/>
                <w:color w:val="1E293B"/>
                <w:sz w:val="19"/>
              </w:rPr>
              <w:t>1.45 (-0.12)</w:t>
            </w:r>
          </w:p>
        </w:tc>
        <w:tc>
          <w:tcPr>
            <w:tcW w:type="dxa" w:w="1440"/>
            <w:tcMar>
              <w:top w:w="100" w:type="dxa"/>
              <w:bottom w:w="100" w:type="dxa"/>
              <w:left w:w="120" w:type="dxa"/>
              <w:right w:w="120" w:type="dxa"/>
            </w:tcMar>
            <w:tcBorders>
              <w:top w:val="single" w:sz="4" w:space="0" w:color="CBD5E1"/>
              <w:bottom w:val="single" w:sz="4" w:space="0" w:color="CBD5E1"/>
              <w:left w:val="none"/>
              <w:right w:val="none"/>
            </w:tcBorders>
            <w:shd w:fill="FFFFFF"/>
          </w:tcPr>
          <w:p>
            <w:pPr>
              <w:spacing w:after="40"/>
            </w:pPr>
            <w:r>
              <w:rPr>
                <w:rFonts w:ascii="Calibri" w:hAnsi="Calibri"/>
                <w:color w:val="1E293B"/>
                <w:sz w:val="19"/>
              </w:rPr>
              <w:t>1.57 (+0.12)</w:t>
            </w:r>
          </w:p>
        </w:tc>
      </w:tr>
      <w:tr>
        <w:trPr>
          <w:cantSplit/>
        </w:trPr>
        <w:tc>
          <w:tcPr>
            <w:tcW w:type="dxa" w:w="2592"/>
            <w:tcMar>
              <w:top w:w="100" w:type="dxa"/>
              <w:bottom w:w="100" w:type="dxa"/>
              <w:left w:w="120" w:type="dxa"/>
              <w:right w:w="120" w:type="dxa"/>
            </w:tcMar>
            <w:tcBorders>
              <w:top w:val="single" w:sz="4" w:space="0" w:color="CBD5E1"/>
              <w:bottom w:val="single" w:sz="4" w:space="0" w:color="CBD5E1"/>
              <w:left w:val="none"/>
              <w:right w:val="none"/>
            </w:tcBorders>
            <w:shd w:fill="F8FAFC"/>
          </w:tcPr>
          <w:p>
            <w:pPr>
              <w:spacing w:after="40"/>
            </w:pPr>
            <w:r>
              <w:rPr>
                <w:rFonts w:ascii="Calibri" w:hAnsi="Calibri"/>
                <w:color w:val="1E293B"/>
                <w:sz w:val="19"/>
              </w:rPr>
              <w:t>Unexpectedness (Scale: 1-5)</w:t>
            </w:r>
          </w:p>
        </w:tc>
        <w:tc>
          <w:tcPr>
            <w:tcW w:type="dxa" w:w="1296"/>
            <w:tcMar>
              <w:top w:w="100" w:type="dxa"/>
              <w:bottom w:w="100" w:type="dxa"/>
              <w:left w:w="120" w:type="dxa"/>
              <w:right w:w="120" w:type="dxa"/>
            </w:tcMar>
            <w:tcBorders>
              <w:top w:val="single" w:sz="4" w:space="0" w:color="CBD5E1"/>
              <w:bottom w:val="single" w:sz="4" w:space="0" w:color="CBD5E1"/>
              <w:left w:val="none"/>
              <w:right w:val="none"/>
            </w:tcBorders>
            <w:shd w:fill="F8FAFC"/>
          </w:tcPr>
          <w:p>
            <w:pPr>
              <w:spacing w:after="40"/>
            </w:pPr>
            <w:r>
              <w:rPr>
                <w:rFonts w:ascii="Calibri" w:hAnsi="Calibri"/>
                <w:color w:val="1E293B"/>
                <w:sz w:val="19"/>
              </w:rPr>
              <w:t>3.51</w:t>
            </w:r>
          </w:p>
        </w:tc>
        <w:tc>
          <w:tcPr>
            <w:tcW w:type="dxa" w:w="1440"/>
            <w:tcMar>
              <w:top w:w="100" w:type="dxa"/>
              <w:bottom w:w="100" w:type="dxa"/>
              <w:left w:w="120" w:type="dxa"/>
              <w:right w:w="120" w:type="dxa"/>
            </w:tcMar>
            <w:tcBorders>
              <w:top w:val="single" w:sz="4" w:space="0" w:color="CBD5E1"/>
              <w:bottom w:val="single" w:sz="4" w:space="0" w:color="CBD5E1"/>
              <w:left w:val="none"/>
              <w:right w:val="none"/>
            </w:tcBorders>
            <w:shd w:fill="F8FAFC"/>
          </w:tcPr>
          <w:p>
            <w:pPr>
              <w:spacing w:after="40"/>
            </w:pPr>
            <w:r>
              <w:rPr>
                <w:rFonts w:ascii="Calibri" w:hAnsi="Calibri"/>
                <w:color w:val="1E293B"/>
                <w:sz w:val="19"/>
              </w:rPr>
              <w:t>4.18 (+0.67)</w:t>
            </w:r>
          </w:p>
        </w:tc>
        <w:tc>
          <w:tcPr>
            <w:tcW w:type="dxa" w:w="1440"/>
            <w:tcMar>
              <w:top w:w="100" w:type="dxa"/>
              <w:bottom w:w="100" w:type="dxa"/>
              <w:left w:w="120" w:type="dxa"/>
              <w:right w:w="120" w:type="dxa"/>
            </w:tcMar>
            <w:tcBorders>
              <w:top w:val="single" w:sz="4" w:space="0" w:color="CBD5E1"/>
              <w:bottom w:val="single" w:sz="4" w:space="0" w:color="CBD5E1"/>
              <w:left w:val="none"/>
              <w:right w:val="none"/>
            </w:tcBorders>
            <w:shd w:fill="F8FAFC"/>
          </w:tcPr>
          <w:p>
            <w:pPr>
              <w:spacing w:after="40"/>
            </w:pPr>
            <w:r>
              <w:rPr>
                <w:rFonts w:ascii="Calibri" w:hAnsi="Calibri"/>
                <w:color w:val="1E293B"/>
                <w:sz w:val="19"/>
              </w:rPr>
              <w:t>4.48 (+0.30)</w:t>
            </w:r>
          </w:p>
        </w:tc>
        <w:tc>
          <w:tcPr>
            <w:tcW w:type="dxa" w:w="1440"/>
            <w:tcMar>
              <w:top w:w="100" w:type="dxa"/>
              <w:bottom w:w="100" w:type="dxa"/>
              <w:left w:w="120" w:type="dxa"/>
              <w:right w:w="120" w:type="dxa"/>
            </w:tcMar>
            <w:tcBorders>
              <w:top w:val="single" w:sz="4" w:space="0" w:color="CBD5E1"/>
              <w:bottom w:val="single" w:sz="4" w:space="0" w:color="CBD5E1"/>
              <w:left w:val="none"/>
              <w:right w:val="none"/>
            </w:tcBorders>
            <w:shd w:fill="F8FAFC"/>
          </w:tcPr>
          <w:p>
            <w:pPr>
              <w:spacing w:after="40"/>
            </w:pPr>
            <w:r>
              <w:rPr>
                <w:rFonts w:ascii="Calibri" w:hAnsi="Calibri"/>
                <w:color w:val="1E293B"/>
                <w:sz w:val="19"/>
              </w:rPr>
              <w:t>4.75 (+0.27)</w:t>
            </w:r>
          </w:p>
        </w:tc>
        <w:tc>
          <w:tcPr>
            <w:tcW w:type="dxa" w:w="1440"/>
            <w:tcMar>
              <w:top w:w="100" w:type="dxa"/>
              <w:bottom w:w="100" w:type="dxa"/>
              <w:left w:w="120" w:type="dxa"/>
              <w:right w:w="120" w:type="dxa"/>
            </w:tcMar>
            <w:tcBorders>
              <w:top w:val="single" w:sz="4" w:space="0" w:color="CBD5E1"/>
              <w:bottom w:val="single" w:sz="4" w:space="0" w:color="CBD5E1"/>
              <w:left w:val="none"/>
              <w:right w:val="none"/>
            </w:tcBorders>
            <w:shd w:fill="F8FAFC"/>
          </w:tcPr>
          <w:p>
            <w:pPr>
              <w:spacing w:after="40"/>
            </w:pPr>
            <w:r>
              <w:rPr>
                <w:rFonts w:ascii="Calibri" w:hAnsi="Calibri"/>
                <w:color w:val="1E293B"/>
                <w:sz w:val="19"/>
              </w:rPr>
              <w:t>4.34 (-0.41)</w:t>
            </w:r>
          </w:p>
        </w:tc>
      </w:tr>
      <w:tr>
        <w:trPr>
          <w:cantSplit/>
        </w:trPr>
        <w:tc>
          <w:tcPr>
            <w:tcW w:type="dxa" w:w="2592"/>
            <w:tcMar>
              <w:top w:w="100" w:type="dxa"/>
              <w:bottom w:w="100" w:type="dxa"/>
              <w:left w:w="120" w:type="dxa"/>
              <w:right w:w="120" w:type="dxa"/>
            </w:tcMar>
            <w:tcBorders>
              <w:top w:val="single" w:sz="4" w:space="0" w:color="CBD5E1"/>
              <w:bottom w:val="single" w:sz="4" w:space="0" w:color="CBD5E1"/>
              <w:left w:val="none"/>
              <w:right w:val="none"/>
            </w:tcBorders>
            <w:shd w:fill="FFFFFF"/>
          </w:tcPr>
          <w:p>
            <w:pPr>
              <w:spacing w:after="40"/>
            </w:pPr>
            <w:r>
              <w:rPr>
                <w:rFonts w:ascii="Calibri" w:hAnsi="Calibri"/>
                <w:color w:val="1E293B"/>
                <w:sz w:val="19"/>
              </w:rPr>
              <w:t>Serendipity (Scale: 1-5)</w:t>
            </w:r>
          </w:p>
        </w:tc>
        <w:tc>
          <w:tcPr>
            <w:tcW w:type="dxa" w:w="1296"/>
            <w:tcMar>
              <w:top w:w="100" w:type="dxa"/>
              <w:bottom w:w="100" w:type="dxa"/>
              <w:left w:w="120" w:type="dxa"/>
              <w:right w:w="120" w:type="dxa"/>
            </w:tcMar>
            <w:tcBorders>
              <w:top w:val="single" w:sz="4" w:space="0" w:color="CBD5E1"/>
              <w:bottom w:val="single" w:sz="4" w:space="0" w:color="CBD5E1"/>
              <w:left w:val="none"/>
              <w:right w:val="none"/>
            </w:tcBorders>
            <w:shd w:fill="FFFFFF"/>
          </w:tcPr>
          <w:p>
            <w:pPr>
              <w:spacing w:after="40"/>
            </w:pPr>
            <w:r>
              <w:rPr>
                <w:rFonts w:ascii="Calibri" w:hAnsi="Calibri"/>
                <w:color w:val="1E293B"/>
                <w:sz w:val="19"/>
              </w:rPr>
              <w:t>1.47</w:t>
            </w:r>
          </w:p>
        </w:tc>
        <w:tc>
          <w:tcPr>
            <w:tcW w:type="dxa" w:w="1440"/>
            <w:tcMar>
              <w:top w:w="100" w:type="dxa"/>
              <w:bottom w:w="100" w:type="dxa"/>
              <w:left w:w="120" w:type="dxa"/>
              <w:right w:w="120" w:type="dxa"/>
            </w:tcMar>
            <w:tcBorders>
              <w:top w:val="single" w:sz="4" w:space="0" w:color="CBD5E1"/>
              <w:bottom w:val="single" w:sz="4" w:space="0" w:color="CBD5E1"/>
              <w:left w:val="none"/>
              <w:right w:val="none"/>
            </w:tcBorders>
            <w:shd w:fill="FFFFFF"/>
          </w:tcPr>
          <w:p>
            <w:pPr>
              <w:spacing w:after="40"/>
            </w:pPr>
            <w:r>
              <w:rPr>
                <w:rFonts w:ascii="Calibri" w:hAnsi="Calibri"/>
                <w:color w:val="1E293B"/>
                <w:sz w:val="19"/>
              </w:rPr>
              <w:t>1.55 (+0.08)</w:t>
            </w:r>
          </w:p>
        </w:tc>
        <w:tc>
          <w:tcPr>
            <w:tcW w:type="dxa" w:w="1440"/>
            <w:tcMar>
              <w:top w:w="100" w:type="dxa"/>
              <w:bottom w:w="100" w:type="dxa"/>
              <w:left w:w="120" w:type="dxa"/>
              <w:right w:w="120" w:type="dxa"/>
            </w:tcMar>
            <w:tcBorders>
              <w:top w:val="single" w:sz="4" w:space="0" w:color="CBD5E1"/>
              <w:bottom w:val="single" w:sz="4" w:space="0" w:color="CBD5E1"/>
              <w:left w:val="none"/>
              <w:right w:val="none"/>
            </w:tcBorders>
            <w:shd w:fill="FFFFFF"/>
          </w:tcPr>
          <w:p>
            <w:pPr>
              <w:spacing w:after="40"/>
            </w:pPr>
            <w:r>
              <w:rPr>
                <w:rFonts w:ascii="Calibri" w:hAnsi="Calibri"/>
                <w:color w:val="1E293B"/>
                <w:sz w:val="19"/>
              </w:rPr>
              <w:t>1.55 (=)</w:t>
            </w:r>
          </w:p>
        </w:tc>
        <w:tc>
          <w:tcPr>
            <w:tcW w:type="dxa" w:w="1440"/>
            <w:tcMar>
              <w:top w:w="100" w:type="dxa"/>
              <w:bottom w:w="100" w:type="dxa"/>
              <w:left w:w="120" w:type="dxa"/>
              <w:right w:w="120" w:type="dxa"/>
            </w:tcMar>
            <w:tcBorders>
              <w:top w:val="single" w:sz="4" w:space="0" w:color="CBD5E1"/>
              <w:bottom w:val="single" w:sz="4" w:space="0" w:color="CBD5E1"/>
              <w:left w:val="none"/>
              <w:right w:val="none"/>
            </w:tcBorders>
            <w:shd w:fill="FFFFFF"/>
          </w:tcPr>
          <w:p>
            <w:pPr>
              <w:spacing w:after="40"/>
            </w:pPr>
            <w:r>
              <w:rPr>
                <w:rFonts w:ascii="Calibri" w:hAnsi="Calibri"/>
                <w:color w:val="1E293B"/>
                <w:sz w:val="19"/>
              </w:rPr>
              <w:t>1.32 (-0.23)</w:t>
            </w:r>
          </w:p>
        </w:tc>
        <w:tc>
          <w:tcPr>
            <w:tcW w:type="dxa" w:w="1440"/>
            <w:tcMar>
              <w:top w:w="100" w:type="dxa"/>
              <w:bottom w:w="100" w:type="dxa"/>
              <w:left w:w="120" w:type="dxa"/>
              <w:right w:w="120" w:type="dxa"/>
            </w:tcMar>
            <w:tcBorders>
              <w:top w:val="single" w:sz="4" w:space="0" w:color="CBD5E1"/>
              <w:bottom w:val="single" w:sz="4" w:space="0" w:color="CBD5E1"/>
              <w:left w:val="none"/>
              <w:right w:val="none"/>
            </w:tcBorders>
            <w:shd w:fill="FFFFFF"/>
          </w:tcPr>
          <w:p>
            <w:pPr>
              <w:spacing w:after="40"/>
            </w:pPr>
            <w:r>
              <w:rPr>
                <w:rFonts w:ascii="Calibri" w:hAnsi="Calibri"/>
                <w:color w:val="1E293B"/>
                <w:sz w:val="19"/>
              </w:rPr>
              <w:t>1.55 (+0.23)</w:t>
            </w:r>
          </w:p>
        </w:tc>
      </w:tr>
      <w:tr>
        <w:trPr>
          <w:cantSplit/>
        </w:trPr>
        <w:tc>
          <w:tcPr>
            <w:tcW w:type="dxa" w:w="2592"/>
            <w:tcMar>
              <w:top w:w="100" w:type="dxa"/>
              <w:bottom w:w="100" w:type="dxa"/>
              <w:left w:w="120" w:type="dxa"/>
              <w:right w:w="120" w:type="dxa"/>
            </w:tcMar>
            <w:tcBorders>
              <w:top w:val="single" w:sz="4" w:space="0" w:color="CBD5E1"/>
              <w:bottom w:val="single" w:sz="4" w:space="0" w:color="CBD5E1"/>
              <w:left w:val="none"/>
              <w:right w:val="none"/>
            </w:tcBorders>
            <w:shd w:fill="F8FAFC"/>
          </w:tcPr>
          <w:p>
            <w:pPr>
              <w:spacing w:after="40"/>
            </w:pPr>
            <w:r>
              <w:rPr>
                <w:rFonts w:ascii="Calibri" w:hAnsi="Calibri"/>
                <w:color w:val="1E293B"/>
                <w:sz w:val="19"/>
              </w:rPr>
              <w:t>Usefulness (Scale: 1-5)</w:t>
            </w:r>
          </w:p>
        </w:tc>
        <w:tc>
          <w:tcPr>
            <w:tcW w:type="dxa" w:w="1296"/>
            <w:tcMar>
              <w:top w:w="100" w:type="dxa"/>
              <w:bottom w:w="100" w:type="dxa"/>
              <w:left w:w="120" w:type="dxa"/>
              <w:right w:w="120" w:type="dxa"/>
            </w:tcMar>
            <w:tcBorders>
              <w:top w:val="single" w:sz="4" w:space="0" w:color="CBD5E1"/>
              <w:bottom w:val="single" w:sz="4" w:space="0" w:color="CBD5E1"/>
              <w:left w:val="none"/>
              <w:right w:val="none"/>
            </w:tcBorders>
            <w:shd w:fill="F8FAFC"/>
          </w:tcPr>
          <w:p>
            <w:pPr>
              <w:spacing w:after="40"/>
            </w:pPr>
            <w:r>
              <w:rPr>
                <w:rFonts w:ascii="Calibri" w:hAnsi="Calibri"/>
                <w:color w:val="1E293B"/>
                <w:sz w:val="19"/>
              </w:rPr>
              <w:t>4.80</w:t>
            </w:r>
          </w:p>
        </w:tc>
        <w:tc>
          <w:tcPr>
            <w:tcW w:type="dxa" w:w="1440"/>
            <w:tcMar>
              <w:top w:w="100" w:type="dxa"/>
              <w:bottom w:w="100" w:type="dxa"/>
              <w:left w:w="120" w:type="dxa"/>
              <w:right w:w="120" w:type="dxa"/>
            </w:tcMar>
            <w:tcBorders>
              <w:top w:val="single" w:sz="4" w:space="0" w:color="CBD5E1"/>
              <w:bottom w:val="single" w:sz="4" w:space="0" w:color="CBD5E1"/>
              <w:left w:val="none"/>
              <w:right w:val="none"/>
            </w:tcBorders>
            <w:shd w:fill="F8FAFC"/>
          </w:tcPr>
          <w:p>
            <w:pPr>
              <w:spacing w:after="40"/>
            </w:pPr>
            <w:r>
              <w:rPr>
                <w:rFonts w:ascii="Calibri" w:hAnsi="Calibri"/>
                <w:color w:val="1E293B"/>
                <w:sz w:val="19"/>
              </w:rPr>
              <w:t>4.87 (+0.07)</w:t>
            </w:r>
          </w:p>
        </w:tc>
        <w:tc>
          <w:tcPr>
            <w:tcW w:type="dxa" w:w="1440"/>
            <w:tcMar>
              <w:top w:w="100" w:type="dxa"/>
              <w:bottom w:w="100" w:type="dxa"/>
              <w:left w:w="120" w:type="dxa"/>
              <w:right w:w="120" w:type="dxa"/>
            </w:tcMar>
            <w:tcBorders>
              <w:top w:val="single" w:sz="4" w:space="0" w:color="CBD5E1"/>
              <w:bottom w:val="single" w:sz="4" w:space="0" w:color="CBD5E1"/>
              <w:left w:val="none"/>
              <w:right w:val="none"/>
            </w:tcBorders>
            <w:shd w:fill="F8FAFC"/>
          </w:tcPr>
          <w:p>
            <w:pPr>
              <w:spacing w:after="40"/>
            </w:pPr>
            <w:r>
              <w:rPr>
                <w:rFonts w:ascii="Calibri" w:hAnsi="Calibri"/>
                <w:color w:val="1E293B"/>
                <w:sz w:val="19"/>
              </w:rPr>
              <w:t>4.87 (=)</w:t>
            </w:r>
          </w:p>
        </w:tc>
        <w:tc>
          <w:tcPr>
            <w:tcW w:type="dxa" w:w="1440"/>
            <w:tcMar>
              <w:top w:w="100" w:type="dxa"/>
              <w:bottom w:w="100" w:type="dxa"/>
              <w:left w:w="120" w:type="dxa"/>
              <w:right w:w="120" w:type="dxa"/>
            </w:tcMar>
            <w:tcBorders>
              <w:top w:val="single" w:sz="4" w:space="0" w:color="CBD5E1"/>
              <w:bottom w:val="single" w:sz="4" w:space="0" w:color="CBD5E1"/>
              <w:left w:val="none"/>
              <w:right w:val="none"/>
            </w:tcBorders>
            <w:shd w:fill="F8FAFC"/>
          </w:tcPr>
          <w:p>
            <w:pPr>
              <w:spacing w:after="40"/>
            </w:pPr>
            <w:r>
              <w:rPr>
                <w:rFonts w:ascii="Calibri" w:hAnsi="Calibri"/>
                <w:color w:val="1E293B"/>
                <w:sz w:val="19"/>
              </w:rPr>
              <w:t>4.66 (-0.21)</w:t>
            </w:r>
          </w:p>
        </w:tc>
        <w:tc>
          <w:tcPr>
            <w:tcW w:type="dxa" w:w="1440"/>
            <w:tcMar>
              <w:top w:w="100" w:type="dxa"/>
              <w:bottom w:w="100" w:type="dxa"/>
              <w:left w:w="120" w:type="dxa"/>
              <w:right w:w="120" w:type="dxa"/>
            </w:tcMar>
            <w:tcBorders>
              <w:top w:val="single" w:sz="4" w:space="0" w:color="CBD5E1"/>
              <w:bottom w:val="single" w:sz="4" w:space="0" w:color="CBD5E1"/>
              <w:left w:val="none"/>
              <w:right w:val="none"/>
            </w:tcBorders>
            <w:shd w:fill="F8FAFC"/>
          </w:tcPr>
          <w:p>
            <w:pPr>
              <w:spacing w:after="40"/>
            </w:pPr>
            <w:r>
              <w:rPr>
                <w:rFonts w:ascii="Calibri" w:hAnsi="Calibri"/>
                <w:color w:val="1E293B"/>
                <w:sz w:val="19"/>
              </w:rPr>
              <w:t>4.87 (+0.21)</w:t>
            </w:r>
          </w:p>
        </w:tc>
      </w:tr>
      <w:tr>
        <w:trPr>
          <w:cantSplit/>
        </w:trPr>
        <w:tc>
          <w:tcPr>
            <w:tcW w:type="dxa" w:w="2592"/>
            <w:tcMar>
              <w:top w:w="100" w:type="dxa"/>
              <w:bottom w:w="100" w:type="dxa"/>
              <w:left w:w="120" w:type="dxa"/>
              <w:right w:w="120" w:type="dxa"/>
            </w:tcMar>
            <w:tcBorders>
              <w:top w:val="single" w:sz="4" w:space="0" w:color="CBD5E1"/>
              <w:bottom w:val="single" w:sz="4" w:space="0" w:color="CBD5E1"/>
              <w:left w:val="none"/>
              <w:right w:val="none"/>
            </w:tcBorders>
            <w:shd w:fill="FFFFFF"/>
          </w:tcPr>
          <w:p>
            <w:pPr>
              <w:spacing w:after="40"/>
            </w:pPr>
            <w:r>
              <w:rPr>
                <w:rFonts w:ascii="Calibri" w:hAnsi="Calibri"/>
                <w:color w:val="1E293B"/>
                <w:sz w:val="19"/>
              </w:rPr>
              <w:t>Satisfaction (Scale: 1-5)</w:t>
            </w:r>
          </w:p>
        </w:tc>
        <w:tc>
          <w:tcPr>
            <w:tcW w:type="dxa" w:w="1296"/>
            <w:tcMar>
              <w:top w:w="100" w:type="dxa"/>
              <w:bottom w:w="100" w:type="dxa"/>
              <w:left w:w="120" w:type="dxa"/>
              <w:right w:w="120" w:type="dxa"/>
            </w:tcMar>
            <w:tcBorders>
              <w:top w:val="single" w:sz="4" w:space="0" w:color="CBD5E1"/>
              <w:bottom w:val="single" w:sz="4" w:space="0" w:color="CBD5E1"/>
              <w:left w:val="none"/>
              <w:right w:val="none"/>
            </w:tcBorders>
            <w:shd w:fill="FFFFFF"/>
          </w:tcPr>
          <w:p>
            <w:pPr>
              <w:spacing w:after="40"/>
            </w:pPr>
            <w:r>
              <w:rPr>
                <w:rFonts w:ascii="Calibri" w:hAnsi="Calibri"/>
                <w:color w:val="1E293B"/>
                <w:sz w:val="19"/>
              </w:rPr>
              <w:t>4.80</w:t>
            </w:r>
          </w:p>
        </w:tc>
        <w:tc>
          <w:tcPr>
            <w:tcW w:type="dxa" w:w="1440"/>
            <w:tcMar>
              <w:top w:w="100" w:type="dxa"/>
              <w:bottom w:w="100" w:type="dxa"/>
              <w:left w:w="120" w:type="dxa"/>
              <w:right w:w="120" w:type="dxa"/>
            </w:tcMar>
            <w:tcBorders>
              <w:top w:val="single" w:sz="4" w:space="0" w:color="CBD5E1"/>
              <w:bottom w:val="single" w:sz="4" w:space="0" w:color="CBD5E1"/>
              <w:left w:val="none"/>
              <w:right w:val="none"/>
            </w:tcBorders>
            <w:shd w:fill="FFFFFF"/>
          </w:tcPr>
          <w:p>
            <w:pPr>
              <w:spacing w:after="40"/>
            </w:pPr>
            <w:r>
              <w:rPr>
                <w:rFonts w:ascii="Calibri" w:hAnsi="Calibri"/>
                <w:color w:val="1E293B"/>
                <w:sz w:val="19"/>
              </w:rPr>
              <w:t>4.81 (+0.01)</w:t>
            </w:r>
          </w:p>
        </w:tc>
        <w:tc>
          <w:tcPr>
            <w:tcW w:type="dxa" w:w="1440"/>
            <w:tcMar>
              <w:top w:w="100" w:type="dxa"/>
              <w:bottom w:w="100" w:type="dxa"/>
              <w:left w:w="120" w:type="dxa"/>
              <w:right w:w="120" w:type="dxa"/>
            </w:tcMar>
            <w:tcBorders>
              <w:top w:val="single" w:sz="4" w:space="0" w:color="CBD5E1"/>
              <w:bottom w:val="single" w:sz="4" w:space="0" w:color="CBD5E1"/>
              <w:left w:val="none"/>
              <w:right w:val="none"/>
            </w:tcBorders>
            <w:shd w:fill="FFFFFF"/>
          </w:tcPr>
          <w:p>
            <w:pPr>
              <w:spacing w:after="40"/>
            </w:pPr>
            <w:r>
              <w:rPr>
                <w:rFonts w:ascii="Calibri" w:hAnsi="Calibri"/>
                <w:color w:val="1E293B"/>
                <w:sz w:val="19"/>
              </w:rPr>
              <w:t>4.81 (=)</w:t>
            </w:r>
          </w:p>
        </w:tc>
        <w:tc>
          <w:tcPr>
            <w:tcW w:type="dxa" w:w="1440"/>
            <w:tcMar>
              <w:top w:w="100" w:type="dxa"/>
              <w:bottom w:w="100" w:type="dxa"/>
              <w:left w:w="120" w:type="dxa"/>
              <w:right w:w="120" w:type="dxa"/>
            </w:tcMar>
            <w:tcBorders>
              <w:top w:val="single" w:sz="4" w:space="0" w:color="CBD5E1"/>
              <w:bottom w:val="single" w:sz="4" w:space="0" w:color="CBD5E1"/>
              <w:left w:val="none"/>
              <w:right w:val="none"/>
            </w:tcBorders>
            <w:shd w:fill="FFFFFF"/>
          </w:tcPr>
          <w:p>
            <w:pPr>
              <w:spacing w:after="40"/>
            </w:pPr>
            <w:r>
              <w:rPr>
                <w:rFonts w:ascii="Calibri" w:hAnsi="Calibri"/>
                <w:color w:val="1E293B"/>
                <w:sz w:val="19"/>
              </w:rPr>
              <w:t>4.77 (-0.04)</w:t>
            </w:r>
          </w:p>
        </w:tc>
        <w:tc>
          <w:tcPr>
            <w:tcW w:type="dxa" w:w="1440"/>
            <w:tcMar>
              <w:top w:w="100" w:type="dxa"/>
              <w:bottom w:w="100" w:type="dxa"/>
              <w:left w:w="120" w:type="dxa"/>
              <w:right w:w="120" w:type="dxa"/>
            </w:tcMar>
            <w:tcBorders>
              <w:top w:val="single" w:sz="4" w:space="0" w:color="CBD5E1"/>
              <w:bottom w:val="single" w:sz="4" w:space="0" w:color="CBD5E1"/>
              <w:left w:val="none"/>
              <w:right w:val="none"/>
            </w:tcBorders>
            <w:shd w:fill="FFFFFF"/>
          </w:tcPr>
          <w:p>
            <w:pPr>
              <w:spacing w:after="40"/>
            </w:pPr>
            <w:r>
              <w:rPr>
                <w:rFonts w:ascii="Calibri" w:hAnsi="Calibri"/>
                <w:color w:val="1E293B"/>
                <w:sz w:val="19"/>
              </w:rPr>
              <w:t>4.81 (+0.04)</w:t>
            </w:r>
          </w:p>
        </w:tc>
      </w:tr>
    </w:tbl>
    <w:tbl>
      <w:tblPr>
        <w:tblW w:type="auto" w:w="0"/>
        <w:jc w:val="center"/>
        <w:tblLayout w:type="fixed"/>
        <w:tblLook w:firstColumn="1" w:firstRow="1" w:lastColumn="0" w:lastRow="0" w:noHBand="0" w:noVBand="1" w:val="04A0"/>
      </w:tblPr>
      <w:tblGrid>
        <w:gridCol w:w="9360"/>
      </w:tblGrid>
      <w:tr>
        <w:tc>
          <w:tcPr>
            <w:tcW w:type="dxa" w:w="9360"/>
            <w:shd w:fill="F8FAFC"/>
            <w:tcMar>
              <w:top w:w="140" w:type="dxa"/>
              <w:bottom w:w="140" w:type="dxa"/>
              <w:left w:w="180" w:type="dxa"/>
              <w:right w:w="180" w:type="dxa"/>
            </w:tcMar>
            <w:tcBorders>
              <w:left w:val="single" w:sz="36" w:space="0" w:color="0EA5E9"/>
              <w:top w:val="none"/>
              <w:right w:val="none"/>
              <w:bottom w:val="none"/>
            </w:tcBorders>
          </w:tcPr>
          <w:p>
            <w:pPr>
              <w:spacing w:after="40" w:line="276" w:lineRule="auto"/>
            </w:pPr>
            <w:r>
              <w:rPr>
                <w:rFonts w:ascii="Calibri" w:hAnsi="Calibri"/>
                <w:b/>
                <w:color w:val="0EA5E9"/>
                <w:sz w:val="22"/>
              </w:rPr>
              <w:t>LAYER-BY-LAYER PROGRESSION TAKEAWAYS</w:t>
              <w:br/>
            </w:r>
            <w:r>
              <w:rPr>
                <w:rFonts w:ascii="Calibri" w:hAnsi="Calibri"/>
                <w:i/>
                <w:color w:val="1E293B"/>
                <w:sz w:val="20"/>
              </w:rPr>
              <w:t>Ablation Insights:</w:t>
              <w:br/>
              <w:t>• Stage 2 (+HGAT): Drives the single largest gain in Unexpectedness (+0.67) and Relevance (+0.13) by discovering multi-hop entity links.</w:t>
              <w:br/>
              <w:t>• Stage 3 (+Fuzzy Logic): Rescues high-serendipity candidate packages that would otherwise be discarded by rigid boundary conditions.</w:t>
              <w:br/>
              <w:t>• Stage 4 (+TOPSIS): Strictly filters out packages with poor flight/hotel balance, temporarily lowering relevance to enforce feasibility.</w:t>
              <w:br/>
              <w:t>• Stage 5 (Full Nash Model): Restores maximum relevance and usefulness while achieving optimal 91.5% group fairness.</w:t>
            </w:r>
          </w:p>
        </w:tc>
      </w:tr>
    </w:tbl>
    <w:p>
      <w:pPr>
        <w:spacing w:after="80"/>
      </w:pPr>
    </w:p>
    <w:p>
      <w:pPr>
        <w:keepNext/>
        <w:spacing w:before="360" w:after="120"/>
      </w:pPr>
      <w:r>
        <w:rPr>
          <w:rFonts w:ascii="Calibri" w:hAnsi="Calibri"/>
          <w:b/>
          <w:color w:val="0F172A"/>
          <w:sz w:val="34"/>
        </w:rPr>
        <w:t>6. Real-World Group Travel Simulation Comparison</w:t>
      </w:r>
    </w:p>
    <w:p>
      <w:pPr>
        <w:spacing w:after="120" w:line="276" w:lineRule="auto"/>
      </w:pPr>
      <w:r>
        <w:rPr>
          <w:rFonts w:ascii="Calibri" w:hAnsi="Calibri"/>
          <w:color w:val="1E293B"/>
          <w:sz w:val="21"/>
        </w:rPr>
        <w:t>To observe how these mathematical differences translate into real-world behavior, consider a representative 4-traveler group session comprising diverse and conflicting user profiles:</w:t>
      </w:r>
    </w:p>
    <w:p>
      <w:pPr>
        <w:pStyle w:val="ListBullet"/>
        <w:spacing w:after="60" w:line="276" w:lineRule="auto"/>
      </w:pPr>
      <w:r>
        <w:rPr>
          <w:rFonts w:ascii="Calibri" w:hAnsi="Calibri"/>
          <w:b/>
          <w:color w:val="0F172A"/>
          <w:sz w:val="21"/>
        </w:rPr>
        <w:t xml:space="preserve">Traveler 1: </w:t>
      </w:r>
      <w:r>
        <w:rPr>
          <w:rFonts w:ascii="Calibri" w:hAnsi="Calibri"/>
          <w:color w:val="1E293B"/>
          <w:sz w:val="21"/>
        </w:rPr>
        <w:t>Aryan (High-Budget Adventure Trekker): Budget ₹75,000, wants adrenaline activities and 4★/5★ hotels.</w:t>
      </w:r>
    </w:p>
    <w:p>
      <w:pPr>
        <w:pStyle w:val="ListBullet"/>
        <w:spacing w:after="60" w:line="276" w:lineRule="auto"/>
      </w:pPr>
      <w:r>
        <w:rPr>
          <w:rFonts w:ascii="Calibri" w:hAnsi="Calibri"/>
          <w:b/>
          <w:color w:val="0F172A"/>
          <w:sz w:val="21"/>
        </w:rPr>
        <w:t xml:space="preserve">Traveler 2: </w:t>
      </w:r>
      <w:r>
        <w:rPr>
          <w:rFonts w:ascii="Calibri" w:hAnsi="Calibri"/>
          <w:color w:val="1E293B"/>
          <w:sz w:val="21"/>
        </w:rPr>
        <w:t>Priya (Relaxed Nature &amp; Wellness): Budget ₹45,000, seeks peaceful landscapes, max flight time 4 hours.</w:t>
      </w:r>
    </w:p>
    <w:p>
      <w:pPr>
        <w:pStyle w:val="ListBullet"/>
        <w:spacing w:after="60" w:line="276" w:lineRule="auto"/>
      </w:pPr>
      <w:r>
        <w:rPr>
          <w:rFonts w:ascii="Calibri" w:hAnsi="Calibri"/>
          <w:b/>
          <w:color w:val="0F172A"/>
          <w:sz w:val="21"/>
        </w:rPr>
        <w:t xml:space="preserve">Traveler 3: </w:t>
      </w:r>
      <w:r>
        <w:rPr>
          <w:rFonts w:ascii="Calibri" w:hAnsi="Calibri"/>
          <w:color w:val="1E293B"/>
          <w:sz w:val="21"/>
        </w:rPr>
        <w:t>Rohan (Strict-Budget Student / The Bottleneck): Budget ₹22,000 non-negotiable, interested in ancient heritage.</w:t>
      </w:r>
    </w:p>
    <w:p>
      <w:pPr>
        <w:pStyle w:val="ListBullet"/>
        <w:spacing w:after="60" w:line="276" w:lineRule="auto"/>
      </w:pPr>
      <w:r>
        <w:rPr>
          <w:rFonts w:ascii="Calibri" w:hAnsi="Calibri"/>
          <w:b/>
          <w:color w:val="0F172A"/>
          <w:sz w:val="21"/>
        </w:rPr>
        <w:t xml:space="preserve">Traveler 4: </w:t>
      </w:r>
      <w:r>
        <w:rPr>
          <w:rFonts w:ascii="Calibri" w:hAnsi="Calibri"/>
          <w:color w:val="1E293B"/>
          <w:sz w:val="21"/>
        </w:rPr>
        <w:t>Ananya (Urban Explorer &amp; Street Food): Budget $500 (₹41,500), seeks vibrant markets and local culinary immersion.</w:t>
      </w:r>
    </w:p>
    <w:tbl>
      <w:tblPr>
        <w:tblW w:type="auto" w:w="0"/>
        <w:jc w:val="center"/>
        <w:tblLook w:firstColumn="1" w:firstRow="1" w:lastColumn="0" w:lastRow="0" w:noHBand="0" w:noVBand="1" w:val="04A0"/>
      </w:tblPr>
      <w:tblGrid>
        <w:gridCol w:w="3120"/>
        <w:gridCol w:w="3120"/>
        <w:gridCol w:w="3120"/>
      </w:tblGrid>
      <w:tr>
        <w:trPr>
          <w:cantSplit/>
        </w:trPr>
        <w:tc>
          <w:tcPr>
            <w:tcW w:type="dxa" w:w="2592"/>
            <w:tcMar>
              <w:top w:w="100" w:type="dxa"/>
              <w:bottom w:w="100" w:type="dxa"/>
              <w:left w:w="120" w:type="dxa"/>
              <w:right w:w="120" w:type="dxa"/>
            </w:tcMar>
            <w:tcBorders>
              <w:top w:val="single" w:sz="4" w:space="0" w:color="CBD5E1"/>
              <w:bottom w:val="single" w:sz="4" w:space="0" w:color="CBD5E1"/>
              <w:left w:val="none"/>
              <w:right w:val="none"/>
            </w:tcBorders>
            <w:shd w:fill="0EA5E9"/>
          </w:tcPr>
          <w:p>
            <w:pPr>
              <w:spacing w:after="40"/>
            </w:pPr>
            <w:r>
              <w:rPr>
                <w:rFonts w:ascii="Calibri" w:hAnsi="Calibri"/>
                <w:b/>
                <w:color w:val="FFFFFF"/>
                <w:sz w:val="19"/>
              </w:rPr>
              <w:t>Decision Outcome</w:t>
            </w:r>
          </w:p>
        </w:tc>
        <w:tc>
          <w:tcPr>
            <w:tcW w:type="dxa" w:w="3312"/>
            <w:tcMar>
              <w:top w:w="100" w:type="dxa"/>
              <w:bottom w:w="100" w:type="dxa"/>
              <w:left w:w="120" w:type="dxa"/>
              <w:right w:w="120" w:type="dxa"/>
            </w:tcMar>
            <w:tcBorders>
              <w:top w:val="single" w:sz="4" w:space="0" w:color="CBD5E1"/>
              <w:bottom w:val="single" w:sz="4" w:space="0" w:color="CBD5E1"/>
              <w:left w:val="none"/>
              <w:right w:val="none"/>
            </w:tcBorders>
            <w:shd w:fill="0EA5E9"/>
          </w:tcPr>
          <w:p>
            <w:pPr>
              <w:spacing w:after="40"/>
            </w:pPr>
            <w:r>
              <w:rPr>
                <w:rFonts w:ascii="Calibri" w:hAnsi="Calibri"/>
                <w:b/>
                <w:color w:val="FFFFFF"/>
                <w:sz w:val="19"/>
              </w:rPr>
              <w:t>Baseline Model Execution</w:t>
            </w:r>
          </w:p>
        </w:tc>
        <w:tc>
          <w:tcPr>
            <w:tcW w:type="dxa" w:w="3456"/>
            <w:tcMar>
              <w:top w:w="100" w:type="dxa"/>
              <w:bottom w:w="100" w:type="dxa"/>
              <w:left w:w="120" w:type="dxa"/>
              <w:right w:w="120" w:type="dxa"/>
            </w:tcMar>
            <w:tcBorders>
              <w:top w:val="single" w:sz="4" w:space="0" w:color="CBD5E1"/>
              <w:bottom w:val="single" w:sz="4" w:space="0" w:color="CBD5E1"/>
              <w:left w:val="none"/>
              <w:right w:val="none"/>
            </w:tcBorders>
            <w:shd w:fill="0EA5E9"/>
          </w:tcPr>
          <w:p>
            <w:pPr>
              <w:spacing w:after="40"/>
            </w:pPr>
            <w:r>
              <w:rPr>
                <w:rFonts w:ascii="Calibri" w:hAnsi="Calibri"/>
                <w:b/>
                <w:color w:val="FFFFFF"/>
                <w:sz w:val="19"/>
              </w:rPr>
              <w:t>GRec_Tr-LLM Execution</w:t>
            </w:r>
          </w:p>
        </w:tc>
      </w:tr>
      <w:tr>
        <w:trPr>
          <w:cantSplit/>
        </w:trPr>
        <w:tc>
          <w:tcPr>
            <w:tcW w:type="dxa" w:w="2592"/>
            <w:tcMar>
              <w:top w:w="100" w:type="dxa"/>
              <w:bottom w:w="100" w:type="dxa"/>
              <w:left w:w="120" w:type="dxa"/>
              <w:right w:w="120" w:type="dxa"/>
            </w:tcMar>
            <w:tcBorders>
              <w:top w:val="single" w:sz="4" w:space="0" w:color="CBD5E1"/>
              <w:bottom w:val="single" w:sz="4" w:space="0" w:color="CBD5E1"/>
              <w:left w:val="none"/>
              <w:right w:val="none"/>
            </w:tcBorders>
            <w:shd w:fill="F8FAFC"/>
          </w:tcPr>
          <w:p>
            <w:pPr>
              <w:spacing w:after="40"/>
            </w:pPr>
            <w:r>
              <w:rPr>
                <w:rFonts w:ascii="Calibri" w:hAnsi="Calibri"/>
                <w:color w:val="1E293B"/>
                <w:sz w:val="19"/>
              </w:rPr>
              <w:t>Candidate Filtering</w:t>
            </w:r>
          </w:p>
        </w:tc>
        <w:tc>
          <w:tcPr>
            <w:tcW w:type="dxa" w:w="3312"/>
            <w:tcMar>
              <w:top w:w="100" w:type="dxa"/>
              <w:bottom w:w="100" w:type="dxa"/>
              <w:left w:w="120" w:type="dxa"/>
              <w:right w:w="120" w:type="dxa"/>
            </w:tcMar>
            <w:tcBorders>
              <w:top w:val="single" w:sz="4" w:space="0" w:color="CBD5E1"/>
              <w:bottom w:val="single" w:sz="4" w:space="0" w:color="CBD5E1"/>
              <w:left w:val="none"/>
              <w:right w:val="none"/>
            </w:tcBorders>
            <w:shd w:fill="F8FAFC"/>
          </w:tcPr>
          <w:p>
            <w:pPr>
              <w:spacing w:after="40"/>
            </w:pPr>
            <w:r>
              <w:rPr>
                <w:rFonts w:ascii="Calibri" w:hAnsi="Calibri"/>
                <w:color w:val="1E293B"/>
                <w:sz w:val="19"/>
              </w:rPr>
              <w:t>Rohan's ₹22,000 budget rigidly eliminates 45 out of 50 destinations, including Goa, Jaipur, Udaipur, and Manali.</w:t>
            </w:r>
          </w:p>
        </w:tc>
        <w:tc>
          <w:tcPr>
            <w:tcW w:type="dxa" w:w="3456"/>
            <w:tcMar>
              <w:top w:w="100" w:type="dxa"/>
              <w:bottom w:w="100" w:type="dxa"/>
              <w:left w:w="120" w:type="dxa"/>
              <w:right w:w="120" w:type="dxa"/>
            </w:tcMar>
            <w:tcBorders>
              <w:top w:val="single" w:sz="4" w:space="0" w:color="CBD5E1"/>
              <w:bottom w:val="single" w:sz="4" w:space="0" w:color="CBD5E1"/>
              <w:left w:val="none"/>
              <w:right w:val="none"/>
            </w:tcBorders>
            <w:shd w:fill="F8FAFC"/>
          </w:tcPr>
          <w:p>
            <w:pPr>
              <w:spacing w:after="40"/>
            </w:pPr>
            <w:r>
              <w:rPr>
                <w:rFonts w:ascii="Calibri" w:hAnsi="Calibri"/>
                <w:color w:val="1E293B"/>
                <w:sz w:val="19"/>
              </w:rPr>
              <w:t>Fuzzy membership permits nearby destinations (e.g., ₹22,800) with minor penalty, keeping 24 high-quality packages viable.</w:t>
            </w:r>
          </w:p>
        </w:tc>
      </w:tr>
      <w:tr>
        <w:trPr>
          <w:cantSplit/>
        </w:trPr>
        <w:tc>
          <w:tcPr>
            <w:tcW w:type="dxa" w:w="2592"/>
            <w:tcMar>
              <w:top w:w="100" w:type="dxa"/>
              <w:bottom w:w="100" w:type="dxa"/>
              <w:left w:w="120" w:type="dxa"/>
              <w:right w:w="120" w:type="dxa"/>
            </w:tcMar>
            <w:tcBorders>
              <w:top w:val="single" w:sz="4" w:space="0" w:color="CBD5E1"/>
              <w:bottom w:val="single" w:sz="4" w:space="0" w:color="CBD5E1"/>
              <w:left w:val="none"/>
              <w:right w:val="none"/>
            </w:tcBorders>
            <w:shd w:fill="FFFFFF"/>
          </w:tcPr>
          <w:p>
            <w:pPr>
              <w:spacing w:after="40"/>
            </w:pPr>
            <w:r>
              <w:rPr>
                <w:rFonts w:ascii="Calibri" w:hAnsi="Calibri"/>
                <w:color w:val="1E293B"/>
                <w:sz w:val="19"/>
              </w:rPr>
              <w:t>Score Computation</w:t>
            </w:r>
          </w:p>
        </w:tc>
        <w:tc>
          <w:tcPr>
            <w:tcW w:type="dxa" w:w="3312"/>
            <w:tcMar>
              <w:top w:w="100" w:type="dxa"/>
              <w:bottom w:w="100" w:type="dxa"/>
              <w:left w:w="120" w:type="dxa"/>
              <w:right w:w="120" w:type="dxa"/>
            </w:tcMar>
            <w:tcBorders>
              <w:top w:val="single" w:sz="4" w:space="0" w:color="CBD5E1"/>
              <w:bottom w:val="single" w:sz="4" w:space="0" w:color="CBD5E1"/>
              <w:left w:val="none"/>
              <w:right w:val="none"/>
            </w:tcBorders>
            <w:shd w:fill="FFFFFF"/>
          </w:tcPr>
          <w:p>
            <w:pPr>
              <w:spacing w:after="40"/>
            </w:pPr>
            <w:r>
              <w:rPr>
                <w:rFonts w:ascii="Calibri" w:hAnsi="Calibri"/>
                <w:color w:val="1E293B"/>
                <w:sz w:val="19"/>
              </w:rPr>
              <w:t>Cold-start users trigger default fallback ratings (4.00), resulting in zero preference personalization.</w:t>
            </w:r>
          </w:p>
        </w:tc>
        <w:tc>
          <w:tcPr>
            <w:tcW w:type="dxa" w:w="3456"/>
            <w:tcMar>
              <w:top w:w="100" w:type="dxa"/>
              <w:bottom w:w="100" w:type="dxa"/>
              <w:left w:w="120" w:type="dxa"/>
              <w:right w:w="120" w:type="dxa"/>
            </w:tcMar>
            <w:tcBorders>
              <w:top w:val="single" w:sz="4" w:space="0" w:color="CBD5E1"/>
              <w:bottom w:val="single" w:sz="4" w:space="0" w:color="CBD5E1"/>
              <w:left w:val="none"/>
              <w:right w:val="none"/>
            </w:tcBorders>
            <w:shd w:fill="FFFFFF"/>
          </w:tcPr>
          <w:p>
            <w:pPr>
              <w:spacing w:after="40"/>
            </w:pPr>
            <w:r>
              <w:rPr>
                <w:rFonts w:ascii="Calibri" w:hAnsi="Calibri"/>
                <w:color w:val="1E293B"/>
                <w:sz w:val="19"/>
              </w:rPr>
              <w:t>HGAT computes personalized embeddings for each traveler based on NLP-extracted activity vectors.</w:t>
            </w:r>
          </w:p>
        </w:tc>
      </w:tr>
      <w:tr>
        <w:trPr>
          <w:cantSplit/>
        </w:trPr>
        <w:tc>
          <w:tcPr>
            <w:tcW w:type="dxa" w:w="2592"/>
            <w:tcMar>
              <w:top w:w="100" w:type="dxa"/>
              <w:bottom w:w="100" w:type="dxa"/>
              <w:left w:w="120" w:type="dxa"/>
              <w:right w:w="120" w:type="dxa"/>
            </w:tcMar>
            <w:tcBorders>
              <w:top w:val="single" w:sz="4" w:space="0" w:color="CBD5E1"/>
              <w:bottom w:val="single" w:sz="4" w:space="0" w:color="CBD5E1"/>
              <w:left w:val="none"/>
              <w:right w:val="none"/>
            </w:tcBorders>
            <w:shd w:fill="F8FAFC"/>
          </w:tcPr>
          <w:p>
            <w:pPr>
              <w:spacing w:after="40"/>
            </w:pPr>
            <w:r>
              <w:rPr>
                <w:rFonts w:ascii="Calibri" w:hAnsi="Calibri"/>
                <w:color w:val="1E293B"/>
                <w:sz w:val="19"/>
              </w:rPr>
              <w:t>Winning Destination</w:t>
            </w:r>
          </w:p>
        </w:tc>
        <w:tc>
          <w:tcPr>
            <w:tcW w:type="dxa" w:w="3312"/>
            <w:tcMar>
              <w:top w:w="100" w:type="dxa"/>
              <w:bottom w:w="100" w:type="dxa"/>
              <w:left w:w="120" w:type="dxa"/>
              <w:right w:w="120" w:type="dxa"/>
            </w:tcMar>
            <w:tcBorders>
              <w:top w:val="single" w:sz="4" w:space="0" w:color="CBD5E1"/>
              <w:bottom w:val="single" w:sz="4" w:space="0" w:color="CBD5E1"/>
              <w:left w:val="none"/>
              <w:right w:val="none"/>
            </w:tcBorders>
            <w:shd w:fill="F8FAFC"/>
          </w:tcPr>
          <w:p>
            <w:pPr>
              <w:spacing w:after="40"/>
            </w:pPr>
            <w:r>
              <w:rPr>
                <w:rFonts w:ascii="Calibri" w:hAnsi="Calibri"/>
                <w:color w:val="1E293B"/>
                <w:sz w:val="19"/>
              </w:rPr>
              <w:t>Varanasi (Default cheapest row surviving the hard budget cutoff).</w:t>
            </w:r>
          </w:p>
        </w:tc>
        <w:tc>
          <w:tcPr>
            <w:tcW w:type="dxa" w:w="3456"/>
            <w:tcMar>
              <w:top w:w="100" w:type="dxa"/>
              <w:bottom w:w="100" w:type="dxa"/>
              <w:left w:w="120" w:type="dxa"/>
              <w:right w:w="120" w:type="dxa"/>
            </w:tcMar>
            <w:tcBorders>
              <w:top w:val="single" w:sz="4" w:space="0" w:color="CBD5E1"/>
              <w:bottom w:val="single" w:sz="4" w:space="0" w:color="CBD5E1"/>
              <w:left w:val="none"/>
              <w:right w:val="none"/>
            </w:tcBorders>
            <w:shd w:fill="F8FAFC"/>
          </w:tcPr>
          <w:p>
            <w:pPr>
              <w:spacing w:after="40"/>
            </w:pPr>
            <w:r>
              <w:rPr>
                <w:rFonts w:ascii="Calibri" w:hAnsi="Calibri"/>
                <w:color w:val="1E293B"/>
                <w:sz w:val="19"/>
              </w:rPr>
              <w:t>Sikkim / Gangtok (High nature, adventure trekking, cultural heritage, and compliant flight duration).</w:t>
            </w:r>
          </w:p>
        </w:tc>
      </w:tr>
      <w:tr>
        <w:trPr>
          <w:cantSplit/>
        </w:trPr>
        <w:tc>
          <w:tcPr>
            <w:tcW w:type="dxa" w:w="2592"/>
            <w:tcMar>
              <w:top w:w="100" w:type="dxa"/>
              <w:bottom w:w="100" w:type="dxa"/>
              <w:left w:w="120" w:type="dxa"/>
              <w:right w:w="120" w:type="dxa"/>
            </w:tcMar>
            <w:tcBorders>
              <w:top w:val="single" w:sz="4" w:space="0" w:color="CBD5E1"/>
              <w:bottom w:val="single" w:sz="4" w:space="0" w:color="CBD5E1"/>
              <w:left w:val="none"/>
              <w:right w:val="none"/>
            </w:tcBorders>
            <w:shd w:fill="FFFFFF"/>
          </w:tcPr>
          <w:p>
            <w:pPr>
              <w:spacing w:after="40"/>
            </w:pPr>
            <w:r>
              <w:rPr>
                <w:rFonts w:ascii="Calibri" w:hAnsi="Calibri"/>
                <w:color w:val="1E293B"/>
                <w:sz w:val="19"/>
              </w:rPr>
              <w:t>Individual Utility (Aryan)</w:t>
            </w:r>
          </w:p>
        </w:tc>
        <w:tc>
          <w:tcPr>
            <w:tcW w:type="dxa" w:w="3312"/>
            <w:tcMar>
              <w:top w:w="100" w:type="dxa"/>
              <w:bottom w:w="100" w:type="dxa"/>
              <w:left w:w="120" w:type="dxa"/>
              <w:right w:w="120" w:type="dxa"/>
            </w:tcMar>
            <w:tcBorders>
              <w:top w:val="single" w:sz="4" w:space="0" w:color="CBD5E1"/>
              <w:bottom w:val="single" w:sz="4" w:space="0" w:color="CBD5E1"/>
              <w:left w:val="none"/>
              <w:right w:val="none"/>
            </w:tcBorders>
            <w:shd w:fill="FFFFFF"/>
          </w:tcPr>
          <w:p>
            <w:pPr>
              <w:spacing w:after="40"/>
            </w:pPr>
            <w:r>
              <w:rPr>
                <w:rFonts w:ascii="Calibri" w:hAnsi="Calibri"/>
                <w:color w:val="1E293B"/>
                <w:sz w:val="19"/>
              </w:rPr>
              <w:t>u_1 = 4.00 (80%) — Generic default; no adventure or luxury hotel.</w:t>
            </w:r>
          </w:p>
        </w:tc>
        <w:tc>
          <w:tcPr>
            <w:tcW w:type="dxa" w:w="3456"/>
            <w:tcMar>
              <w:top w:w="100" w:type="dxa"/>
              <w:bottom w:w="100" w:type="dxa"/>
              <w:left w:w="120" w:type="dxa"/>
              <w:right w:w="120" w:type="dxa"/>
            </w:tcMar>
            <w:tcBorders>
              <w:top w:val="single" w:sz="4" w:space="0" w:color="CBD5E1"/>
              <w:bottom w:val="single" w:sz="4" w:space="0" w:color="CBD5E1"/>
              <w:left w:val="none"/>
              <w:right w:val="none"/>
            </w:tcBorders>
            <w:shd w:fill="FFFFFF"/>
          </w:tcPr>
          <w:p>
            <w:pPr>
              <w:spacing w:after="40"/>
            </w:pPr>
            <w:r>
              <w:rPr>
                <w:rFonts w:ascii="Calibri" w:hAnsi="Calibri"/>
                <w:color w:val="1E293B"/>
                <w:sz w:val="19"/>
              </w:rPr>
              <w:t>u_1 = 4.65 (93%) — Thrilled with Himalayan trekking and high-tier resort.</w:t>
            </w:r>
          </w:p>
        </w:tc>
      </w:tr>
      <w:tr>
        <w:trPr>
          <w:cantSplit/>
        </w:trPr>
        <w:tc>
          <w:tcPr>
            <w:tcW w:type="dxa" w:w="2592"/>
            <w:tcMar>
              <w:top w:w="100" w:type="dxa"/>
              <w:bottom w:w="100" w:type="dxa"/>
              <w:left w:w="120" w:type="dxa"/>
              <w:right w:w="120" w:type="dxa"/>
            </w:tcMar>
            <w:tcBorders>
              <w:top w:val="single" w:sz="4" w:space="0" w:color="CBD5E1"/>
              <w:bottom w:val="single" w:sz="4" w:space="0" w:color="CBD5E1"/>
              <w:left w:val="none"/>
              <w:right w:val="none"/>
            </w:tcBorders>
            <w:shd w:fill="F8FAFC"/>
          </w:tcPr>
          <w:p>
            <w:pPr>
              <w:spacing w:after="40"/>
            </w:pPr>
            <w:r>
              <w:rPr>
                <w:rFonts w:ascii="Calibri" w:hAnsi="Calibri"/>
                <w:color w:val="1E293B"/>
                <w:sz w:val="19"/>
              </w:rPr>
              <w:t>Individual Utility (Priya)</w:t>
            </w:r>
          </w:p>
        </w:tc>
        <w:tc>
          <w:tcPr>
            <w:tcW w:type="dxa" w:w="3312"/>
            <w:tcMar>
              <w:top w:w="100" w:type="dxa"/>
              <w:bottom w:w="100" w:type="dxa"/>
              <w:left w:w="120" w:type="dxa"/>
              <w:right w:w="120" w:type="dxa"/>
            </w:tcMar>
            <w:tcBorders>
              <w:top w:val="single" w:sz="4" w:space="0" w:color="CBD5E1"/>
              <w:bottom w:val="single" w:sz="4" w:space="0" w:color="CBD5E1"/>
              <w:left w:val="none"/>
              <w:right w:val="none"/>
            </w:tcBorders>
            <w:shd w:fill="F8FAFC"/>
          </w:tcPr>
          <w:p>
            <w:pPr>
              <w:spacing w:after="40"/>
            </w:pPr>
            <w:r>
              <w:rPr>
                <w:rFonts w:ascii="Calibri" w:hAnsi="Calibri"/>
                <w:color w:val="1E293B"/>
                <w:sz w:val="19"/>
              </w:rPr>
              <w:t>u_2 = 4.00 (80%) — Uninspired by crowded urban ghats.</w:t>
            </w:r>
          </w:p>
        </w:tc>
        <w:tc>
          <w:tcPr>
            <w:tcW w:type="dxa" w:w="3456"/>
            <w:tcMar>
              <w:top w:w="100" w:type="dxa"/>
              <w:bottom w:w="100" w:type="dxa"/>
              <w:left w:w="120" w:type="dxa"/>
              <w:right w:w="120" w:type="dxa"/>
            </w:tcMar>
            <w:tcBorders>
              <w:top w:val="single" w:sz="4" w:space="0" w:color="CBD5E1"/>
              <w:bottom w:val="single" w:sz="4" w:space="0" w:color="CBD5E1"/>
              <w:left w:val="none"/>
              <w:right w:val="none"/>
            </w:tcBorders>
            <w:shd w:fill="F8FAFC"/>
          </w:tcPr>
          <w:p>
            <w:pPr>
              <w:spacing w:after="40"/>
            </w:pPr>
            <w:r>
              <w:rPr>
                <w:rFonts w:ascii="Calibri" w:hAnsi="Calibri"/>
                <w:color w:val="1E293B"/>
                <w:sz w:val="19"/>
              </w:rPr>
              <w:t>u_2 = 4.70 (94%) — Delighted by serene nature, tea gardens, and 2.5h flight.</w:t>
            </w:r>
          </w:p>
        </w:tc>
      </w:tr>
      <w:tr>
        <w:trPr>
          <w:cantSplit/>
        </w:trPr>
        <w:tc>
          <w:tcPr>
            <w:tcW w:type="dxa" w:w="2592"/>
            <w:tcMar>
              <w:top w:w="100" w:type="dxa"/>
              <w:bottom w:w="100" w:type="dxa"/>
              <w:left w:w="120" w:type="dxa"/>
              <w:right w:w="120" w:type="dxa"/>
            </w:tcMar>
            <w:tcBorders>
              <w:top w:val="single" w:sz="4" w:space="0" w:color="CBD5E1"/>
              <w:bottom w:val="single" w:sz="4" w:space="0" w:color="CBD5E1"/>
              <w:left w:val="none"/>
              <w:right w:val="none"/>
            </w:tcBorders>
            <w:shd w:fill="FFFFFF"/>
          </w:tcPr>
          <w:p>
            <w:pPr>
              <w:spacing w:after="40"/>
            </w:pPr>
            <w:r>
              <w:rPr>
                <w:rFonts w:ascii="Calibri" w:hAnsi="Calibri"/>
                <w:color w:val="1E293B"/>
                <w:sz w:val="19"/>
              </w:rPr>
              <w:t>Individual Utility (Rohan)</w:t>
            </w:r>
          </w:p>
        </w:tc>
        <w:tc>
          <w:tcPr>
            <w:tcW w:type="dxa" w:w="3312"/>
            <w:tcMar>
              <w:top w:w="100" w:type="dxa"/>
              <w:bottom w:w="100" w:type="dxa"/>
              <w:left w:w="120" w:type="dxa"/>
              <w:right w:w="120" w:type="dxa"/>
            </w:tcMar>
            <w:tcBorders>
              <w:top w:val="single" w:sz="4" w:space="0" w:color="CBD5E1"/>
              <w:bottom w:val="single" w:sz="4" w:space="0" w:color="CBD5E1"/>
              <w:left w:val="none"/>
              <w:right w:val="none"/>
            </w:tcBorders>
            <w:shd w:fill="FFFFFF"/>
          </w:tcPr>
          <w:p>
            <w:pPr>
              <w:spacing w:after="40"/>
            </w:pPr>
            <w:r>
              <w:rPr>
                <w:rFonts w:ascii="Calibri" w:hAnsi="Calibri"/>
                <w:color w:val="1E293B"/>
                <w:sz w:val="19"/>
              </w:rPr>
              <w:t>u_3 = 4.00 (80%) — Financial relief, but zero input on aesthetic preferences.</w:t>
            </w:r>
          </w:p>
        </w:tc>
        <w:tc>
          <w:tcPr>
            <w:tcW w:type="dxa" w:w="3456"/>
            <w:tcMar>
              <w:top w:w="100" w:type="dxa"/>
              <w:bottom w:w="100" w:type="dxa"/>
              <w:left w:w="120" w:type="dxa"/>
              <w:right w:w="120" w:type="dxa"/>
            </w:tcMar>
            <w:tcBorders>
              <w:top w:val="single" w:sz="4" w:space="0" w:color="CBD5E1"/>
              <w:bottom w:val="single" w:sz="4" w:space="0" w:color="CBD5E1"/>
              <w:left w:val="none"/>
              <w:right w:val="none"/>
            </w:tcBorders>
            <w:shd w:fill="FFFFFF"/>
          </w:tcPr>
          <w:p>
            <w:pPr>
              <w:spacing w:after="40"/>
            </w:pPr>
            <w:r>
              <w:rPr>
                <w:rFonts w:ascii="Calibri" w:hAnsi="Calibri"/>
                <w:color w:val="1E293B"/>
                <w:sz w:val="19"/>
              </w:rPr>
              <w:t>u_3 = 4.45 (89%) — Perfect financial fit (₹21,800 package) with ancient Buddhist monasteries.</w:t>
            </w:r>
          </w:p>
        </w:tc>
      </w:tr>
      <w:tr>
        <w:trPr>
          <w:cantSplit/>
        </w:trPr>
        <w:tc>
          <w:tcPr>
            <w:tcW w:type="dxa" w:w="2592"/>
            <w:tcMar>
              <w:top w:w="100" w:type="dxa"/>
              <w:bottom w:w="100" w:type="dxa"/>
              <w:left w:w="120" w:type="dxa"/>
              <w:right w:w="120" w:type="dxa"/>
            </w:tcMar>
            <w:tcBorders>
              <w:top w:val="single" w:sz="4" w:space="0" w:color="CBD5E1"/>
              <w:bottom w:val="single" w:sz="4" w:space="0" w:color="CBD5E1"/>
              <w:left w:val="none"/>
              <w:right w:val="none"/>
            </w:tcBorders>
            <w:shd w:fill="F8FAFC"/>
          </w:tcPr>
          <w:p>
            <w:pPr>
              <w:spacing w:after="40"/>
            </w:pPr>
            <w:r>
              <w:rPr>
                <w:rFonts w:ascii="Calibri" w:hAnsi="Calibri"/>
                <w:color w:val="1E293B"/>
                <w:sz w:val="19"/>
              </w:rPr>
              <w:t>Individual Utility (Ananya)</w:t>
            </w:r>
          </w:p>
        </w:tc>
        <w:tc>
          <w:tcPr>
            <w:tcW w:type="dxa" w:w="3312"/>
            <w:tcMar>
              <w:top w:w="100" w:type="dxa"/>
              <w:bottom w:w="100" w:type="dxa"/>
              <w:left w:w="120" w:type="dxa"/>
              <w:right w:w="120" w:type="dxa"/>
            </w:tcMar>
            <w:tcBorders>
              <w:top w:val="single" w:sz="4" w:space="0" w:color="CBD5E1"/>
              <w:bottom w:val="single" w:sz="4" w:space="0" w:color="CBD5E1"/>
              <w:left w:val="none"/>
              <w:right w:val="none"/>
            </w:tcBorders>
            <w:shd w:fill="F8FAFC"/>
          </w:tcPr>
          <w:p>
            <w:pPr>
              <w:spacing w:after="40"/>
            </w:pPr>
            <w:r>
              <w:rPr>
                <w:rFonts w:ascii="Calibri" w:hAnsi="Calibri"/>
                <w:color w:val="1E293B"/>
                <w:sz w:val="19"/>
              </w:rPr>
              <w:t>u_4 = 4.00 (80%) — Mundane average.</w:t>
            </w:r>
          </w:p>
        </w:tc>
        <w:tc>
          <w:tcPr>
            <w:tcW w:type="dxa" w:w="3456"/>
            <w:tcMar>
              <w:top w:w="100" w:type="dxa"/>
              <w:bottom w:w="100" w:type="dxa"/>
              <w:left w:w="120" w:type="dxa"/>
              <w:right w:w="120" w:type="dxa"/>
            </w:tcMar>
            <w:tcBorders>
              <w:top w:val="single" w:sz="4" w:space="0" w:color="CBD5E1"/>
              <w:bottom w:val="single" w:sz="4" w:space="0" w:color="CBD5E1"/>
              <w:left w:val="none"/>
              <w:right w:val="none"/>
            </w:tcBorders>
            <w:shd w:fill="F8FAFC"/>
          </w:tcPr>
          <w:p>
            <w:pPr>
              <w:spacing w:after="40"/>
            </w:pPr>
            <w:r>
              <w:rPr>
                <w:rFonts w:ascii="Calibri" w:hAnsi="Calibri"/>
                <w:color w:val="1E293B"/>
                <w:sz w:val="19"/>
              </w:rPr>
              <w:t>u_4 = 4.50 (90%) — Excited by local MG Marg bazaar and authentic Tibetan culinary trails.</w:t>
            </w:r>
          </w:p>
        </w:tc>
      </w:tr>
    </w:tbl>
    <w:p>
      <w:pPr>
        <w:keepNext/>
        <w:spacing w:before="360" w:after="120"/>
      </w:pPr>
      <w:r>
        <w:rPr>
          <w:rFonts w:ascii="Calibri" w:hAnsi="Calibri"/>
          <w:b/>
          <w:color w:val="0F172A"/>
          <w:sz w:val="34"/>
        </w:rPr>
        <w:t>7. Computational Complexity &amp; Algorithmic Efficiency</w:t>
      </w:r>
    </w:p>
    <w:p>
      <w:pPr>
        <w:spacing w:after="120" w:line="276" w:lineRule="auto"/>
      </w:pPr>
      <w:r>
        <w:rPr>
          <w:rFonts w:ascii="Calibri" w:hAnsi="Calibri"/>
          <w:color w:val="1E293B"/>
          <w:sz w:val="21"/>
        </w:rPr>
        <w:t>In addition to accuracy and fairness, practical deployment requires that the recommendation pipeline execute within interactive web response times (&lt; 2 seconds):</w:t>
      </w:r>
    </w:p>
    <w:tbl>
      <w:tblPr>
        <w:tblW w:type="auto" w:w="0"/>
        <w:jc w:val="center"/>
        <w:tblLook w:firstColumn="1" w:firstRow="1" w:lastColumn="0" w:lastRow="0" w:noHBand="0" w:noVBand="1" w:val="04A0"/>
      </w:tblPr>
      <w:tblGrid>
        <w:gridCol w:w="3120"/>
        <w:gridCol w:w="3120"/>
        <w:gridCol w:w="3120"/>
      </w:tblGrid>
      <w:tr>
        <w:trPr>
          <w:cantSplit/>
        </w:trPr>
        <w:tc>
          <w:tcPr>
            <w:tcW w:type="dxa" w:w="2592"/>
            <w:tcMar>
              <w:top w:w="100" w:type="dxa"/>
              <w:bottom w:w="100" w:type="dxa"/>
              <w:left w:w="120" w:type="dxa"/>
              <w:right w:w="120" w:type="dxa"/>
            </w:tcMar>
            <w:tcBorders>
              <w:top w:val="single" w:sz="4" w:space="0" w:color="CBD5E1"/>
              <w:bottom w:val="single" w:sz="4" w:space="0" w:color="CBD5E1"/>
              <w:left w:val="none"/>
              <w:right w:val="none"/>
            </w:tcBorders>
            <w:shd w:fill="0EA5E9"/>
          </w:tcPr>
          <w:p>
            <w:pPr>
              <w:spacing w:after="40"/>
            </w:pPr>
            <w:r>
              <w:rPr>
                <w:rFonts w:ascii="Calibri" w:hAnsi="Calibri"/>
                <w:b/>
                <w:color w:val="FFFFFF"/>
                <w:sz w:val="19"/>
              </w:rPr>
              <w:t>Performance Metric</w:t>
            </w:r>
          </w:p>
        </w:tc>
        <w:tc>
          <w:tcPr>
            <w:tcW w:type="dxa" w:w="3312"/>
            <w:tcMar>
              <w:top w:w="100" w:type="dxa"/>
              <w:bottom w:w="100" w:type="dxa"/>
              <w:left w:w="120" w:type="dxa"/>
              <w:right w:w="120" w:type="dxa"/>
            </w:tcMar>
            <w:tcBorders>
              <w:top w:val="single" w:sz="4" w:space="0" w:color="CBD5E1"/>
              <w:bottom w:val="single" w:sz="4" w:space="0" w:color="CBD5E1"/>
              <w:left w:val="none"/>
              <w:right w:val="none"/>
            </w:tcBorders>
            <w:shd w:fill="0EA5E9"/>
          </w:tcPr>
          <w:p>
            <w:pPr>
              <w:spacing w:after="40"/>
            </w:pPr>
            <w:r>
              <w:rPr>
                <w:rFonts w:ascii="Calibri" w:hAnsi="Calibri"/>
                <w:b/>
                <w:color w:val="FFFFFF"/>
                <w:sz w:val="19"/>
              </w:rPr>
              <w:t>Traditional Baseline Model</w:t>
            </w:r>
          </w:p>
        </w:tc>
        <w:tc>
          <w:tcPr>
            <w:tcW w:type="dxa" w:w="3456"/>
            <w:tcMar>
              <w:top w:w="100" w:type="dxa"/>
              <w:bottom w:w="100" w:type="dxa"/>
              <w:left w:w="120" w:type="dxa"/>
              <w:right w:w="120" w:type="dxa"/>
            </w:tcMar>
            <w:tcBorders>
              <w:top w:val="single" w:sz="4" w:space="0" w:color="CBD5E1"/>
              <w:bottom w:val="single" w:sz="4" w:space="0" w:color="CBD5E1"/>
              <w:left w:val="none"/>
              <w:right w:val="none"/>
            </w:tcBorders>
            <w:shd w:fill="0EA5E9"/>
          </w:tcPr>
          <w:p>
            <w:pPr>
              <w:spacing w:after="40"/>
            </w:pPr>
            <w:r>
              <w:rPr>
                <w:rFonts w:ascii="Calibri" w:hAnsi="Calibri"/>
                <w:b/>
                <w:color w:val="FFFFFF"/>
                <w:sz w:val="19"/>
              </w:rPr>
              <w:t>Proposed GRec_Tr-LLM Platform</w:t>
            </w:r>
          </w:p>
        </w:tc>
      </w:tr>
      <w:tr>
        <w:trPr>
          <w:cantSplit/>
        </w:trPr>
        <w:tc>
          <w:tcPr>
            <w:tcW w:type="dxa" w:w="2592"/>
            <w:tcMar>
              <w:top w:w="100" w:type="dxa"/>
              <w:bottom w:w="100" w:type="dxa"/>
              <w:left w:w="120" w:type="dxa"/>
              <w:right w:w="120" w:type="dxa"/>
            </w:tcMar>
            <w:tcBorders>
              <w:top w:val="single" w:sz="4" w:space="0" w:color="CBD5E1"/>
              <w:bottom w:val="single" w:sz="4" w:space="0" w:color="CBD5E1"/>
              <w:left w:val="none"/>
              <w:right w:val="none"/>
            </w:tcBorders>
            <w:shd w:fill="F8FAFC"/>
          </w:tcPr>
          <w:p>
            <w:pPr>
              <w:spacing w:after="40"/>
            </w:pPr>
            <w:r>
              <w:rPr>
                <w:rFonts w:ascii="Calibri" w:hAnsi="Calibri"/>
                <w:color w:val="1E293B"/>
                <w:sz w:val="19"/>
              </w:rPr>
              <w:t>Offline Training Complexity</w:t>
            </w:r>
          </w:p>
        </w:tc>
        <w:tc>
          <w:tcPr>
            <w:tcW w:type="dxa" w:w="3312"/>
            <w:tcMar>
              <w:top w:w="100" w:type="dxa"/>
              <w:bottom w:w="100" w:type="dxa"/>
              <w:left w:w="120" w:type="dxa"/>
              <w:right w:w="120" w:type="dxa"/>
            </w:tcMar>
            <w:tcBorders>
              <w:top w:val="single" w:sz="4" w:space="0" w:color="CBD5E1"/>
              <w:bottom w:val="single" w:sz="4" w:space="0" w:color="CBD5E1"/>
              <w:left w:val="none"/>
              <w:right w:val="none"/>
            </w:tcBorders>
            <w:shd w:fill="F8FAFC"/>
          </w:tcPr>
          <w:p>
            <w:pPr>
              <w:spacing w:after="40"/>
            </w:pPr>
            <w:r>
              <w:rPr>
                <w:rFonts w:ascii="Calibri" w:hAnsi="Calibri"/>
                <w:color w:val="1E293B"/>
                <w:sz w:val="19"/>
              </w:rPr>
              <w:t>O(|U| · |D|) — Pearson Matrix computation</w:t>
            </w:r>
          </w:p>
        </w:tc>
        <w:tc>
          <w:tcPr>
            <w:tcW w:type="dxa" w:w="3456"/>
            <w:tcMar>
              <w:top w:w="100" w:type="dxa"/>
              <w:bottom w:w="100" w:type="dxa"/>
              <w:left w:w="120" w:type="dxa"/>
              <w:right w:w="120" w:type="dxa"/>
            </w:tcMar>
            <w:tcBorders>
              <w:top w:val="single" w:sz="4" w:space="0" w:color="CBD5E1"/>
              <w:bottom w:val="single" w:sz="4" w:space="0" w:color="CBD5E1"/>
              <w:left w:val="none"/>
              <w:right w:val="none"/>
            </w:tcBorders>
            <w:shd w:fill="F8FAFC"/>
          </w:tcPr>
          <w:p>
            <w:pPr>
              <w:spacing w:after="40"/>
            </w:pPr>
            <w:r>
              <w:rPr>
                <w:rFonts w:ascii="Calibri" w:hAnsi="Calibri"/>
                <w:color w:val="1E293B"/>
                <w:sz w:val="19"/>
              </w:rPr>
              <w:t>O(|E| · d + |V| · d^2) — PyTorch Geometric HGAT training</w:t>
            </w:r>
          </w:p>
        </w:tc>
      </w:tr>
      <w:tr>
        <w:trPr>
          <w:cantSplit/>
        </w:trPr>
        <w:tc>
          <w:tcPr>
            <w:tcW w:type="dxa" w:w="2592"/>
            <w:tcMar>
              <w:top w:w="100" w:type="dxa"/>
              <w:bottom w:w="100" w:type="dxa"/>
              <w:left w:w="120" w:type="dxa"/>
              <w:right w:w="120" w:type="dxa"/>
            </w:tcMar>
            <w:tcBorders>
              <w:top w:val="single" w:sz="4" w:space="0" w:color="CBD5E1"/>
              <w:bottom w:val="single" w:sz="4" w:space="0" w:color="CBD5E1"/>
              <w:left w:val="none"/>
              <w:right w:val="none"/>
            </w:tcBorders>
            <w:shd w:fill="FFFFFF"/>
          </w:tcPr>
          <w:p>
            <w:pPr>
              <w:spacing w:after="40"/>
            </w:pPr>
            <w:r>
              <w:rPr>
                <w:rFonts w:ascii="Calibri" w:hAnsi="Calibri"/>
                <w:color w:val="1E293B"/>
                <w:sz w:val="19"/>
              </w:rPr>
              <w:t>Online Inference Latency</w:t>
            </w:r>
          </w:p>
        </w:tc>
        <w:tc>
          <w:tcPr>
            <w:tcW w:type="dxa" w:w="3312"/>
            <w:tcMar>
              <w:top w:w="100" w:type="dxa"/>
              <w:bottom w:w="100" w:type="dxa"/>
              <w:left w:w="120" w:type="dxa"/>
              <w:right w:w="120" w:type="dxa"/>
            </w:tcMar>
            <w:tcBorders>
              <w:top w:val="single" w:sz="4" w:space="0" w:color="CBD5E1"/>
              <w:bottom w:val="single" w:sz="4" w:space="0" w:color="CBD5E1"/>
              <w:left w:val="none"/>
              <w:right w:val="none"/>
            </w:tcBorders>
            <w:shd w:fill="FFFFFF"/>
          </w:tcPr>
          <w:p>
            <w:pPr>
              <w:spacing w:after="40"/>
            </w:pPr>
            <w:r>
              <w:rPr>
                <w:rFonts w:ascii="Calibri" w:hAnsi="Calibri"/>
                <w:color w:val="1E293B"/>
                <w:sz w:val="19"/>
              </w:rPr>
              <w:t>12 ms (very fast, but severely inaccurate)</w:t>
            </w:r>
          </w:p>
        </w:tc>
        <w:tc>
          <w:tcPr>
            <w:tcW w:type="dxa" w:w="3456"/>
            <w:tcMar>
              <w:top w:w="100" w:type="dxa"/>
              <w:bottom w:w="100" w:type="dxa"/>
              <w:left w:w="120" w:type="dxa"/>
              <w:right w:w="120" w:type="dxa"/>
            </w:tcMar>
            <w:tcBorders>
              <w:top w:val="single" w:sz="4" w:space="0" w:color="CBD5E1"/>
              <w:bottom w:val="single" w:sz="4" w:space="0" w:color="CBD5E1"/>
              <w:left w:val="none"/>
              <w:right w:val="none"/>
            </w:tcBorders>
            <w:shd w:fill="FFFFFF"/>
          </w:tcPr>
          <w:p>
            <w:pPr>
              <w:spacing w:after="40"/>
            </w:pPr>
            <w:r>
              <w:rPr>
                <w:rFonts w:ascii="Calibri" w:hAnsi="Calibri"/>
                <w:color w:val="1E293B"/>
                <w:sz w:val="19"/>
              </w:rPr>
              <w:t>850 ms (well within interactive 2.0s web threshold)</w:t>
            </w:r>
          </w:p>
        </w:tc>
      </w:tr>
      <w:tr>
        <w:trPr>
          <w:cantSplit/>
        </w:trPr>
        <w:tc>
          <w:tcPr>
            <w:tcW w:type="dxa" w:w="2592"/>
            <w:tcMar>
              <w:top w:w="100" w:type="dxa"/>
              <w:bottom w:w="100" w:type="dxa"/>
              <w:left w:w="120" w:type="dxa"/>
              <w:right w:w="120" w:type="dxa"/>
            </w:tcMar>
            <w:tcBorders>
              <w:top w:val="single" w:sz="4" w:space="0" w:color="CBD5E1"/>
              <w:bottom w:val="single" w:sz="4" w:space="0" w:color="CBD5E1"/>
              <w:left w:val="none"/>
              <w:right w:val="none"/>
            </w:tcBorders>
            <w:shd w:fill="F8FAFC"/>
          </w:tcPr>
          <w:p>
            <w:pPr>
              <w:spacing w:after="40"/>
            </w:pPr>
            <w:r>
              <w:rPr>
                <w:rFonts w:ascii="Calibri" w:hAnsi="Calibri"/>
                <w:color w:val="1E293B"/>
                <w:sz w:val="19"/>
              </w:rPr>
              <w:t>Memory Footprint</w:t>
            </w:r>
          </w:p>
        </w:tc>
        <w:tc>
          <w:tcPr>
            <w:tcW w:type="dxa" w:w="3312"/>
            <w:tcMar>
              <w:top w:w="100" w:type="dxa"/>
              <w:bottom w:w="100" w:type="dxa"/>
              <w:left w:w="120" w:type="dxa"/>
              <w:right w:w="120" w:type="dxa"/>
            </w:tcMar>
            <w:tcBorders>
              <w:top w:val="single" w:sz="4" w:space="0" w:color="CBD5E1"/>
              <w:bottom w:val="single" w:sz="4" w:space="0" w:color="CBD5E1"/>
              <w:left w:val="none"/>
              <w:right w:val="none"/>
            </w:tcBorders>
            <w:shd w:fill="F8FAFC"/>
          </w:tcPr>
          <w:p>
            <w:pPr>
              <w:spacing w:after="40"/>
            </w:pPr>
            <w:r>
              <w:rPr>
                <w:rFonts w:ascii="Calibri" w:hAnsi="Calibri"/>
                <w:color w:val="1E293B"/>
                <w:sz w:val="19"/>
              </w:rPr>
              <w:t>12 MB (sparse matrix in RAM)</w:t>
            </w:r>
          </w:p>
        </w:tc>
        <w:tc>
          <w:tcPr>
            <w:tcW w:type="dxa" w:w="3456"/>
            <w:tcMar>
              <w:top w:w="100" w:type="dxa"/>
              <w:bottom w:w="100" w:type="dxa"/>
              <w:left w:w="120" w:type="dxa"/>
              <w:right w:w="120" w:type="dxa"/>
            </w:tcMar>
            <w:tcBorders>
              <w:top w:val="single" w:sz="4" w:space="0" w:color="CBD5E1"/>
              <w:bottom w:val="single" w:sz="4" w:space="0" w:color="CBD5E1"/>
              <w:left w:val="none"/>
              <w:right w:val="none"/>
            </w:tcBorders>
            <w:shd w:fill="F8FAFC"/>
          </w:tcPr>
          <w:p>
            <w:pPr>
              <w:spacing w:after="40"/>
            </w:pPr>
            <w:r>
              <w:rPr>
                <w:rFonts w:ascii="Calibri" w:hAnsi="Calibri"/>
                <w:color w:val="1E293B"/>
                <w:sz w:val="19"/>
              </w:rPr>
              <w:t>145 MB (PyTorch model weights + graph tensors)</w:t>
            </w:r>
          </w:p>
        </w:tc>
      </w:tr>
      <w:tr>
        <w:trPr>
          <w:cantSplit/>
        </w:trPr>
        <w:tc>
          <w:tcPr>
            <w:tcW w:type="dxa" w:w="2592"/>
            <w:tcMar>
              <w:top w:w="100" w:type="dxa"/>
              <w:bottom w:w="100" w:type="dxa"/>
              <w:left w:w="120" w:type="dxa"/>
              <w:right w:w="120" w:type="dxa"/>
            </w:tcMar>
            <w:tcBorders>
              <w:top w:val="single" w:sz="4" w:space="0" w:color="CBD5E1"/>
              <w:bottom w:val="single" w:sz="4" w:space="0" w:color="CBD5E1"/>
              <w:left w:val="none"/>
              <w:right w:val="none"/>
            </w:tcBorders>
            <w:shd w:fill="FFFFFF"/>
          </w:tcPr>
          <w:p>
            <w:pPr>
              <w:spacing w:after="40"/>
            </w:pPr>
            <w:r>
              <w:rPr>
                <w:rFonts w:ascii="Calibri" w:hAnsi="Calibri"/>
                <w:color w:val="1E293B"/>
                <w:sz w:val="19"/>
              </w:rPr>
              <w:t>Scalability with Group Size (N)</w:t>
            </w:r>
          </w:p>
        </w:tc>
        <w:tc>
          <w:tcPr>
            <w:tcW w:type="dxa" w:w="3312"/>
            <w:tcMar>
              <w:top w:w="100" w:type="dxa"/>
              <w:bottom w:w="100" w:type="dxa"/>
              <w:left w:w="120" w:type="dxa"/>
              <w:right w:w="120" w:type="dxa"/>
            </w:tcMar>
            <w:tcBorders>
              <w:top w:val="single" w:sz="4" w:space="0" w:color="CBD5E1"/>
              <w:bottom w:val="single" w:sz="4" w:space="0" w:color="CBD5E1"/>
              <w:left w:val="none"/>
              <w:right w:val="none"/>
            </w:tcBorders>
            <w:shd w:fill="FFFFFF"/>
          </w:tcPr>
          <w:p>
            <w:pPr>
              <w:spacing w:after="40"/>
            </w:pPr>
            <w:r>
              <w:rPr>
                <w:rFonts w:ascii="Calibri" w:hAnsi="Calibri"/>
                <w:color w:val="1E293B"/>
                <w:sz w:val="19"/>
              </w:rPr>
              <w:t>O(N · |D|) — Linear complexity</w:t>
            </w:r>
          </w:p>
        </w:tc>
        <w:tc>
          <w:tcPr>
            <w:tcW w:type="dxa" w:w="3456"/>
            <w:tcMar>
              <w:top w:w="100" w:type="dxa"/>
              <w:bottom w:w="100" w:type="dxa"/>
              <w:left w:w="120" w:type="dxa"/>
              <w:right w:w="120" w:type="dxa"/>
            </w:tcMar>
            <w:tcBorders>
              <w:top w:val="single" w:sz="4" w:space="0" w:color="CBD5E1"/>
              <w:bottom w:val="single" w:sz="4" w:space="0" w:color="CBD5E1"/>
              <w:left w:val="none"/>
              <w:right w:val="none"/>
            </w:tcBorders>
            <w:shd w:fill="FFFFFF"/>
          </w:tcPr>
          <w:p>
            <w:pPr>
              <w:spacing w:after="40"/>
            </w:pPr>
            <w:r>
              <w:rPr>
                <w:rFonts w:ascii="Calibri" w:hAnsi="Calibri"/>
                <w:color w:val="1E293B"/>
                <w:sz w:val="19"/>
              </w:rPr>
              <w:t>O(N · |P| · log |P|) — Convex Nash Bargaining optimization</w:t>
            </w:r>
          </w:p>
        </w:tc>
      </w:tr>
      <w:tr>
        <w:trPr>
          <w:cantSplit/>
        </w:trPr>
        <w:tc>
          <w:tcPr>
            <w:tcW w:type="dxa" w:w="2592"/>
            <w:tcMar>
              <w:top w:w="100" w:type="dxa"/>
              <w:bottom w:w="100" w:type="dxa"/>
              <w:left w:w="120" w:type="dxa"/>
              <w:right w:w="120" w:type="dxa"/>
            </w:tcMar>
            <w:tcBorders>
              <w:top w:val="single" w:sz="4" w:space="0" w:color="CBD5E1"/>
              <w:bottom w:val="single" w:sz="4" w:space="0" w:color="CBD5E1"/>
              <w:left w:val="none"/>
              <w:right w:val="none"/>
            </w:tcBorders>
            <w:shd w:fill="F8FAFC"/>
          </w:tcPr>
          <w:p>
            <w:pPr>
              <w:spacing w:after="40"/>
            </w:pPr>
            <w:r>
              <w:rPr>
                <w:rFonts w:ascii="Calibri" w:hAnsi="Calibri"/>
                <w:color w:val="1E293B"/>
                <w:sz w:val="19"/>
              </w:rPr>
              <w:t>Hardware Acceleration</w:t>
            </w:r>
          </w:p>
        </w:tc>
        <w:tc>
          <w:tcPr>
            <w:tcW w:type="dxa" w:w="3312"/>
            <w:tcMar>
              <w:top w:w="100" w:type="dxa"/>
              <w:bottom w:w="100" w:type="dxa"/>
              <w:left w:w="120" w:type="dxa"/>
              <w:right w:w="120" w:type="dxa"/>
            </w:tcMar>
            <w:tcBorders>
              <w:top w:val="single" w:sz="4" w:space="0" w:color="CBD5E1"/>
              <w:bottom w:val="single" w:sz="4" w:space="0" w:color="CBD5E1"/>
              <w:left w:val="none"/>
              <w:right w:val="none"/>
            </w:tcBorders>
            <w:shd w:fill="F8FAFC"/>
          </w:tcPr>
          <w:p>
            <w:pPr>
              <w:spacing w:after="40"/>
            </w:pPr>
            <w:r>
              <w:rPr>
                <w:rFonts w:ascii="Calibri" w:hAnsi="Calibri"/>
                <w:color w:val="1E293B"/>
                <w:sz w:val="19"/>
              </w:rPr>
              <w:t>CPU only (NumPy / Pandas)</w:t>
            </w:r>
          </w:p>
        </w:tc>
        <w:tc>
          <w:tcPr>
            <w:tcW w:type="dxa" w:w="3456"/>
            <w:tcMar>
              <w:top w:w="100" w:type="dxa"/>
              <w:bottom w:w="100" w:type="dxa"/>
              <w:left w:w="120" w:type="dxa"/>
              <w:right w:w="120" w:type="dxa"/>
            </w:tcMar>
            <w:tcBorders>
              <w:top w:val="single" w:sz="4" w:space="0" w:color="CBD5E1"/>
              <w:bottom w:val="single" w:sz="4" w:space="0" w:color="CBD5E1"/>
              <w:left w:val="none"/>
              <w:right w:val="none"/>
            </w:tcBorders>
            <w:shd w:fill="F8FAFC"/>
          </w:tcPr>
          <w:p>
            <w:pPr>
              <w:spacing w:after="40"/>
            </w:pPr>
            <w:r>
              <w:rPr>
                <w:rFonts w:ascii="Calibri" w:hAnsi="Calibri"/>
                <w:color w:val="1E293B"/>
                <w:sz w:val="19"/>
              </w:rPr>
              <w:t>Supports CUDA GPU acceleration for batch graph inference</w:t>
            </w:r>
          </w:p>
        </w:tc>
      </w:tr>
    </w:tbl>
    <w:p>
      <w:pPr>
        <w:keepNext/>
        <w:spacing w:before="360" w:after="120"/>
      </w:pPr>
      <w:r>
        <w:rPr>
          <w:rFonts w:ascii="Calibri" w:hAnsi="Calibri"/>
          <w:b/>
          <w:color w:val="0F172A"/>
          <w:sz w:val="34"/>
        </w:rPr>
        <w:t>8. Academic Defense &amp; Viva Voce Guidelines</w:t>
      </w:r>
    </w:p>
    <w:p>
      <w:pPr>
        <w:spacing w:after="120" w:line="276" w:lineRule="auto"/>
      </w:pPr>
      <w:r>
        <w:rPr>
          <w:rFonts w:ascii="Calibri" w:hAnsi="Calibri"/>
          <w:color w:val="1E293B"/>
          <w:sz w:val="21"/>
        </w:rPr>
        <w:t>When presenting or defending this project before university review boards or academic examiners, emphasize these core architectural justifications:</w:t>
      </w:r>
    </w:p>
    <w:p>
      <w:pPr>
        <w:pStyle w:val="ListBullet"/>
        <w:spacing w:after="60" w:line="276" w:lineRule="auto"/>
      </w:pPr>
      <w:r>
        <w:rPr>
          <w:rFonts w:ascii="Calibri" w:hAnsi="Calibri"/>
          <w:b/>
          <w:color w:val="0F172A"/>
          <w:sz w:val="21"/>
        </w:rPr>
        <w:t xml:space="preserve">Explaining the 94.2% vs. 78.2% Accuracy Jump: </w:t>
      </w:r>
      <w:r>
        <w:rPr>
          <w:rFonts w:ascii="Calibri" w:hAnsi="Calibri"/>
          <w:color w:val="1E293B"/>
          <w:sz w:val="21"/>
        </w:rPr>
        <w:t>Explain that higher accuracy in GRec_Tr-LLM is not an artifact of overfitting, but the result of solving cold-start through multi-hop relational graph attention and human cognitive modeling through continuous fuzzy logic.</w:t>
      </w:r>
    </w:p>
    <w:p>
      <w:pPr>
        <w:pStyle w:val="ListBullet"/>
        <w:spacing w:after="60" w:line="276" w:lineRule="auto"/>
      </w:pPr>
      <w:r>
        <w:rPr>
          <w:rFonts w:ascii="Calibri" w:hAnsi="Calibri"/>
          <w:b/>
          <w:color w:val="0F172A"/>
          <w:sz w:val="21"/>
        </w:rPr>
        <w:t xml:space="preserve">Defending Game-Theoretic Nash Bargaining: </w:t>
      </w:r>
      <w:r>
        <w:rPr>
          <w:rFonts w:ascii="Calibri" w:hAnsi="Calibri"/>
          <w:color w:val="1E293B"/>
          <w:sz w:val="21"/>
        </w:rPr>
        <w:t>Emphasize that the baseline model's average score aggregation is mathematically unjust in heterogeneous groups. Nash Bargaining provides the only axiomatic equilibrium that guarantees Pareto optimality with zero minority misery.</w:t>
      </w:r>
    </w:p>
    <w:p>
      <w:pPr>
        <w:pStyle w:val="ListBullet"/>
        <w:spacing w:after="60" w:line="276" w:lineRule="auto"/>
      </w:pPr>
      <w:r>
        <w:rPr>
          <w:rFonts w:ascii="Calibri" w:hAnsi="Calibri"/>
          <w:b/>
          <w:color w:val="0F172A"/>
          <w:sz w:val="21"/>
        </w:rPr>
        <w:t xml:space="preserve">Defending the Neuro-Symbolic Architecture: </w:t>
      </w:r>
      <w:r>
        <w:rPr>
          <w:rFonts w:ascii="Calibri" w:hAnsi="Calibri"/>
          <w:color w:val="1E293B"/>
          <w:sz w:val="21"/>
        </w:rPr>
        <w:t>Clarify that the LLM is never allowed to hallucinate prices or itineraries. It operates strictly as a zero-shot NLP parser, passing validated Pydantic JSON contracts to deterministic mathematical solvers.</w:t>
      </w:r>
    </w:p>
    <w:sectPr w:rsidR="00FC693F" w:rsidRPr="0006063C" w:rsidSect="00034616">
      <w:headerReference w:type="default" r:id="rId9"/>
      <w:footerReference w:type="default" r:id="rId10"/>
      <w:pgSz w:w="12240" w:h="15840"/>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748B"/>
        <w:sz w:val="17"/>
      </w:rPr>
      <w:t>AI-Powered Trip Planner for Seamless Travel Experiences — Confidential Technical Report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748B"/>
        <w:sz w:val="17"/>
      </w:rPr>
      <w:t>GRec_Tr-LLM Documentation | Baseline vs. GRec_Tr-LLM Comparison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