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EA5E9"/>
          <w:sz w:val="48"/>
        </w:rPr>
        <w:t>AI-Powered Trip Planner for Seamless Travel Experiences (GRec_Tr-LLM)</w:t>
      </w:r>
    </w:p>
    <w:p>
      <w:pPr>
        <w:spacing w:after="360"/>
      </w:pPr>
      <w:r>
        <w:rPr>
          <w:rFonts w:ascii="Calibri" w:hAnsi="Calibri"/>
          <w:i/>
          <w:color w:val="64748B"/>
          <w:sz w:val="24"/>
        </w:rPr>
        <w:t>Exhaustive Technical Implementation &amp; Architectural Engineering Specification (In-Depth 7–8 Page Reference)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DOCUMENT PURPOSE &amp; EXECUTIVE SCOPE</w:t>
              <w:br/>
            </w:r>
            <w:r>
              <w:rPr>
                <w:rFonts w:ascii="Calibri" w:hAnsi="Calibri"/>
                <w:i/>
                <w:color w:val="1E293B"/>
                <w:sz w:val="20"/>
              </w:rPr>
              <w:t>This engineering report serves as the comprehensive, production-grade technical implementation documentation for the GRec_Tr-LLM platform. It details the multi-tiered neuro-symbolic and game-theoretic recommendation engine, bridging natural language understanding, heterogeneous graph attention representations, continuous fuzzy constraint satisfaction, multi-criteria decision making, and axiomatic Nash Bargaining group consensus.</w:t>
            </w:r>
          </w:p>
        </w:tc>
      </w:tr>
    </w:tbl>
    <w:p>
      <w:pPr>
        <w:spacing w:after="80"/>
      </w:pPr>
    </w:p>
    <w:p>
      <w:pPr>
        <w:keepNext/>
        <w:spacing w:before="360" w:after="120"/>
      </w:pPr>
      <w:r>
        <w:rPr>
          <w:rFonts w:ascii="Calibri" w:hAnsi="Calibri"/>
          <w:b/>
          <w:color w:val="0F172A"/>
          <w:sz w:val="34"/>
        </w:rPr>
        <w:t>1. Executive Summary &amp; Problem Formulation</w:t>
      </w:r>
    </w:p>
    <w:p>
      <w:pPr>
        <w:spacing w:after="120" w:line="276" w:lineRule="auto"/>
      </w:pPr>
      <w:r>
        <w:rPr>
          <w:rFonts w:ascii="Calibri" w:hAnsi="Calibri"/>
          <w:color w:val="1E293B"/>
          <w:sz w:val="21"/>
        </w:rPr>
        <w:t>Traditional travel recommender systems are overwhelmingly engineered under the premise of isolated, individual decision-makers. However, leisure travel is inherently a social, collaborative activity where decisions are executed by heterogeneous groups comprising individuals with starkly diverging budgets, incompatible temporal constraints, conflicting aesthetic preferences, and disparate physical capacities. When conventional collaborative filtering (CF) algorithms or single-user recommendation models are applied to groups, they fundamentally suffer from three structural pathologies:</w:t>
      </w:r>
    </w:p>
    <w:p>
      <w:pPr>
        <w:pStyle w:val="ListBullet"/>
        <w:spacing w:after="60" w:line="276" w:lineRule="auto"/>
      </w:pPr>
      <w:r>
        <w:rPr>
          <w:rFonts w:ascii="Calibri" w:hAnsi="Calibri"/>
          <w:b/>
          <w:color w:val="0F172A"/>
          <w:sz w:val="21"/>
        </w:rPr>
        <w:t xml:space="preserve">Tyranny of the Majority &amp; Minority Marginalization: </w:t>
      </w:r>
      <w:r>
        <w:rPr>
          <w:rFonts w:ascii="Calibri" w:hAnsi="Calibri"/>
          <w:color w:val="1E293B"/>
          <w:sz w:val="21"/>
        </w:rPr>
        <w:t>Conventional group recommenders rely on simplistic score aggregation heuristics such as Average Utility, Most Pleasure, or Borda Count. These functions inadvertently enable 'tyranny of the majority', wherein the preferences of a vocal sub-clique dominate, severely marginalizing vulnerable or low-budget participants who suffer catastrophic dissatisfaction.</w:t>
      </w:r>
    </w:p>
    <w:p>
      <w:pPr>
        <w:pStyle w:val="ListBullet"/>
        <w:spacing w:after="60" w:line="276" w:lineRule="auto"/>
      </w:pPr>
      <w:r>
        <w:rPr>
          <w:rFonts w:ascii="Calibri" w:hAnsi="Calibri"/>
          <w:b/>
          <w:color w:val="0F172A"/>
          <w:sz w:val="21"/>
        </w:rPr>
        <w:t xml:space="preserve">Brittle Combinatorial Feasibility Bottlenecks: </w:t>
      </w:r>
      <w:r>
        <w:rPr>
          <w:rFonts w:ascii="Calibri" w:hAnsi="Calibri"/>
          <w:color w:val="1E293B"/>
          <w:sz w:val="21"/>
        </w:rPr>
        <w:t>Existing constraint-satisfaction approaches (such as the base GRec_Tr model) enforce brittle, binary feasibility filters. In groups with conflicting boundaries (e.g., User A demands a budget under ₹20,000 while User B demands a 5-star luxury resort), crisp logic results in an empty intersection of feasible choices, causing complete recommendation collapse.</w:t>
      </w:r>
    </w:p>
    <w:p>
      <w:pPr>
        <w:pStyle w:val="ListBullet"/>
        <w:spacing w:after="60" w:line="276" w:lineRule="auto"/>
      </w:pPr>
      <w:r>
        <w:rPr>
          <w:rFonts w:ascii="Calibri" w:hAnsi="Calibri"/>
          <w:b/>
          <w:color w:val="0F172A"/>
          <w:sz w:val="21"/>
        </w:rPr>
        <w:t xml:space="preserve">Semantic Impedance Mismatch: </w:t>
      </w:r>
      <w:r>
        <w:rPr>
          <w:rFonts w:ascii="Calibri" w:hAnsi="Calibri"/>
          <w:color w:val="1E293B"/>
          <w:sz w:val="21"/>
        </w:rPr>
        <w:t>Real-world group travelers do not formulate their desires as normalized numerical matrices or database filters; they express preferences naturally in ambiguous conversational text (e.g., 'I want a relaxing beach getaway, but no long flights and definitely not over $500'). Traditional recommender pipelines lack an integrated semantic parsing layer capable of grounding unstructured natural language into mathematical constraint spaces without hallucinations.</w:t>
      </w:r>
    </w:p>
    <w:p>
      <w:pPr>
        <w:spacing w:after="120" w:line="276" w:lineRule="auto"/>
      </w:pPr>
      <w:r>
        <w:rPr>
          <w:rFonts w:ascii="Calibri" w:hAnsi="Calibri"/>
          <w:color w:val="1E293B"/>
          <w:sz w:val="21"/>
        </w:rPr>
        <w:t>To decisively overcome these foundational limitations, the proposed GRec_Tr-LLM framework establishes an end-to-end, multi-paradigm architecture. By synthesizing Large Language Models (LLMs) for deterministic semantic grounding, Heterogeneous Graph Attention Networks (HGAT) for relational affinity discovery, continuous Gaussian Fuzzy Logic for robust constraint elasticity, Multi-Criteria Decision Making (TOPSIS) for balanced package scoring, and axiomatic Nash Bargaining Solution (NBS) for mathematically guaranteed group fairness, GRec_Tr-LLM constructs an optimal, conflict-resilient group travel itinerary.</w:t>
      </w:r>
    </w:p>
    <w:p>
      <w:pPr>
        <w:keepNext/>
        <w:spacing w:before="360" w:after="120"/>
      </w:pPr>
      <w:r>
        <w:rPr>
          <w:rFonts w:ascii="Calibri" w:hAnsi="Calibri"/>
          <w:b/>
          <w:color w:val="0F172A"/>
          <w:sz w:val="34"/>
        </w:rPr>
        <w:t>2. High-Level System Architecture &amp; Multi-Layer Topology</w:t>
      </w:r>
    </w:p>
    <w:p>
      <w:pPr>
        <w:spacing w:after="120" w:line="276" w:lineRule="auto"/>
      </w:pPr>
      <w:r>
        <w:rPr>
          <w:rFonts w:ascii="Calibri" w:hAnsi="Calibri"/>
          <w:color w:val="1E293B"/>
          <w:sz w:val="21"/>
        </w:rPr>
        <w:t>The GRec_Tr-LLM platform is structured as a decoupled, microservice-inspired architecture separating a reactive presentation frontend from an asynchronous, high-throughput machine learning inference backend. The overall system is organized into six interconnected architectural layers:</w:t>
      </w:r>
    </w:p>
    <w:tbl>
      <w:tblPr>
        <w:tblW w:type="auto" w:w="0"/>
        <w:jc w:val="center"/>
        <w:tblLook w:firstColumn="1" w:firstRow="1" w:lastColumn="0" w:lastRow="0" w:noHBand="0" w:noVBand="1" w:val="04A0"/>
      </w:tblPr>
      <w:tblGrid>
        <w:gridCol w:w="3120"/>
        <w:gridCol w:w="3120"/>
        <w:gridCol w:w="3120"/>
      </w:tblGrid>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Layer Name</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Underlying Technology / Modules</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Core Functional Responsibility</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1. Presentation Layer</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Next.js 16 (App Router), React 19, Vanilla CSS Glassmorphism</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Renders dynamic multi-user input forms, real-time SVG satisfaction line graphs, bar charts, 50-destination image showcases, and administrative telemetry dashboards.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2. API &amp; Orchestration Layer</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FastAPI (ASGI), Uvicorn, Pydantic V2 Models</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Handles asynchronous HTTP communication, manages request routing, enforces type validation, schema deserialization, and coordinates the sequential pipeline.</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3. NLP &amp; Semantic Grounding</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Google Gemini 1.5 Flash / Deterministic Heuristic Regex Parser</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Parses unstructured multi-traveler natural language text into strongly typed UserPreferences objects without hallucinating travel recommendations.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4. Relational Representation Layer</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Heterogeneous Graph Attention Network (PyTorch Geometric)</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Constructs bipartite and tripartite multi-relational graphs across Users, Groups, Destinations, Hotels, and Activities to infer latent contextual embeddings.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5. Elastic Constraint Layer</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Gaussian Fuzzy Logic Evaluator, Asymmetric Sigmoidal Functions</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Evaluates candidate feasibility continuously in the range [0.0, 1.0], dynamically scaling tolerances based on inferred user flexibility scores.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6. Decision &amp; Bargaining Layer</w:t>
            </w:r>
          </w:p>
        </w:tc>
        <w:tc>
          <w:tcPr>
            <w:tcW w:type="dxa" w:w="316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TOPSIS MCDM Engine &amp; Nash Bargaining Game-Theoretic Solver</w:t>
            </w:r>
          </w:p>
        </w:tc>
        <w:tc>
          <w:tcPr>
            <w:tcW w:type="dxa" w:w="403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Performs multi-criteria trade-off balancing and optimizes the log-product of individual member utility gains over dynamic disagreement threat points.</w:t>
            </w:r>
          </w:p>
        </w:tc>
      </w:tr>
    </w:tbl>
    <w:p>
      <w:pPr>
        <w:spacing w:after="160" w:line="276" w:lineRule="auto"/>
      </w:pPr>
      <w:r>
        <w:rPr>
          <w:rFonts w:ascii="Calibri" w:hAnsi="Calibri"/>
          <w:color w:val="1E293B"/>
          <w:sz w:val="21"/>
        </w:rPr>
        <w:t>Data persistence is maintained across multiple synchronized layers: (i) an updated Excel repository (india_group_travel_recommender_dataset_updated.xlsx) storing real-time traveler session logs and historical group ratings; (ii) relational synthetic databases tracking flights, accommodations, and city activities; and (iii) an automated local/CDN asset cache serving high-resolution imagery for all 50 verified Indian tourist hubs.</w:t>
      </w:r>
    </w:p>
    <w:p>
      <w:pPr>
        <w:keepNext/>
        <w:spacing w:before="360" w:after="120"/>
      </w:pPr>
      <w:r>
        <w:rPr>
          <w:rFonts w:ascii="Calibri" w:hAnsi="Calibri"/>
          <w:b/>
          <w:color w:val="0F172A"/>
          <w:sz w:val="34"/>
        </w:rPr>
        <w:t>3. Module 1: Natural Language Preference Parser (LLM Semantic Engine)</w:t>
      </w:r>
    </w:p>
    <w:p>
      <w:pPr>
        <w:spacing w:after="120" w:line="276" w:lineRule="auto"/>
      </w:pPr>
      <w:r>
        <w:rPr>
          <w:rFonts w:ascii="Calibri" w:hAnsi="Calibri"/>
          <w:color w:val="1E293B"/>
          <w:sz w:val="21"/>
        </w:rPr>
        <w:t>The entry-point to the recommendation lifecycle resides in src/nlp/preference_parser.py. Rather than permitting the generative language model to hallucinate travel recommendations directly—which routinely introduces nonexistent flights, fictitious hotel prices, or physically impossible itineraries—GRec_Tr-LLM restricts the LLM strictly to deterministic preference extraction.</w:t>
      </w:r>
    </w:p>
    <w:p>
      <w:pPr>
        <w:keepNext/>
        <w:spacing w:before="280" w:after="80"/>
      </w:pPr>
      <w:r>
        <w:rPr>
          <w:rFonts w:ascii="Calibri" w:hAnsi="Calibri"/>
          <w:b/>
          <w:color w:val="0EA5E9"/>
          <w:sz w:val="27"/>
        </w:rPr>
        <w:t>3.1 Prompt Engineering &amp; JSON Schema Enforcement</w:t>
      </w:r>
    </w:p>
    <w:p>
      <w:pPr>
        <w:spacing w:after="120" w:line="276" w:lineRule="auto"/>
      </w:pPr>
      <w:r>
        <w:rPr>
          <w:rFonts w:ascii="Calibri" w:hAnsi="Calibri"/>
          <w:color w:val="1E293B"/>
          <w:sz w:val="21"/>
        </w:rPr>
        <w:t>When an end-user submits conversational travel requirements, the PreferenceParser constructs a rigid system prompt injected with the exact JSON schema generated by Pydantic introspection of the UserPreferences data model. The prompt mandates:</w:t>
      </w:r>
    </w:p>
    <w:p>
      <w:pPr>
        <w:pStyle w:val="ListBullet"/>
        <w:spacing w:after="60" w:line="276" w:lineRule="auto"/>
      </w:pPr>
      <w:r>
        <w:rPr>
          <w:rFonts w:ascii="Calibri" w:hAnsi="Calibri"/>
          <w:b/>
          <w:color w:val="0F172A"/>
          <w:sz w:val="21"/>
        </w:rPr>
        <w:t xml:space="preserve">Schema Adherence: </w:t>
      </w:r>
      <w:r>
        <w:rPr>
          <w:rFonts w:ascii="Calibri" w:hAnsi="Calibri"/>
          <w:color w:val="1E293B"/>
          <w:sz w:val="21"/>
        </w:rPr>
        <w:t>Absolute output purity: The model is restricted to returning raw, valid JSON conforming to the schema with zero introductory chatter, markdown wrapping, or speculative destination names.</w:t>
      </w:r>
    </w:p>
    <w:p>
      <w:pPr>
        <w:pStyle w:val="ListBullet"/>
        <w:spacing w:after="60" w:line="276" w:lineRule="auto"/>
      </w:pPr>
      <w:r>
        <w:rPr>
          <w:rFonts w:ascii="Calibri" w:hAnsi="Calibri"/>
          <w:b/>
          <w:color w:val="0F172A"/>
          <w:sz w:val="21"/>
        </w:rPr>
        <w:t xml:space="preserve">Multi-Currency Normalization: </w:t>
      </w:r>
      <w:r>
        <w:rPr>
          <w:rFonts w:ascii="Calibri" w:hAnsi="Calibri"/>
          <w:color w:val="1E293B"/>
          <w:sz w:val="21"/>
        </w:rPr>
        <w:t>Deterministic Currency Normalization: Any financial expression in US Dollars ($) is multiplied by the system constant USD_TO_INR (83.0), while Euros (€) are scaled by EUR_TO_INR (90.0). String currency symbols and formatting commas are stripped.</w:t>
      </w:r>
    </w:p>
    <w:p>
      <w:pPr>
        <w:pStyle w:val="ListBullet"/>
        <w:spacing w:after="60" w:line="276" w:lineRule="auto"/>
      </w:pPr>
      <w:r>
        <w:rPr>
          <w:rFonts w:ascii="Calibri" w:hAnsi="Calibri"/>
          <w:b/>
          <w:color w:val="0F172A"/>
          <w:sz w:val="21"/>
        </w:rPr>
        <w:t xml:space="preserve">Domain Threshold Grounding: </w:t>
      </w:r>
      <w:r>
        <w:rPr>
          <w:rFonts w:ascii="Calibri" w:hAnsi="Calibri"/>
          <w:color w:val="1E293B"/>
          <w:sz w:val="21"/>
        </w:rPr>
        <w:t>Vague Constraint Mapping: Expressions such as 'no long flights' automatically trigger a hard ceiling of max_travel_time_hours = 6.0 (LONG_FLIGHT_HOURS_THRESHOLD). Descriptors like 'luxury hotel' map to min_hotel_rating = 4.5, whereas 'budget hotel' sets the threshold to 3.0.</w:t>
      </w:r>
    </w:p>
    <w:p>
      <w:pPr>
        <w:pStyle w:val="ListBullet"/>
        <w:spacing w:after="60" w:line="276" w:lineRule="auto"/>
      </w:pPr>
      <w:r>
        <w:rPr>
          <w:rFonts w:ascii="Calibri" w:hAnsi="Calibri"/>
          <w:b/>
          <w:color w:val="0F172A"/>
          <w:sz w:val="21"/>
        </w:rPr>
        <w:t xml:space="preserve">Hard vs. Soft Partitioning: </w:t>
      </w:r>
      <w:r>
        <w:rPr>
          <w:rFonts w:ascii="Calibri" w:hAnsi="Calibri"/>
          <w:color w:val="1E293B"/>
          <w:sz w:val="21"/>
        </w:rPr>
        <w:t>Dichotomy of Hard vs. Soft Constraints: Strictly prohibitive language ('must not exceed', 'under no circumstances longer than') is isolated into the HardConstraints model, while aspirational desires ('would love', 'preferably', 'interested in') are mapped to SoftConstraints.</w:t>
      </w:r>
    </w:p>
    <w:p>
      <w:pPr>
        <w:keepNext/>
        <w:spacing w:before="280" w:after="80"/>
      </w:pPr>
      <w:r>
        <w:rPr>
          <w:rFonts w:ascii="Calibri" w:hAnsi="Calibri"/>
          <w:b/>
          <w:color w:val="0EA5E9"/>
          <w:sz w:val="27"/>
        </w:rPr>
        <w:t>3.2 Schema Architecture &amp; High-Performance Fallback</w:t>
      </w:r>
    </w:p>
    <w:p>
      <w:pPr>
        <w:spacing w:after="120" w:line="276" w:lineRule="auto"/>
      </w:pPr>
      <w:r>
        <w:rPr>
          <w:rFonts w:ascii="Calibri" w:hAnsi="Calibri"/>
          <w:color w:val="1E293B"/>
          <w:sz w:val="21"/>
        </w:rPr>
        <w:t>To ensure continuous system reliability even during network air-gapping, LLM quota exhaustion, or offline local evaluation, the module incorporates a regex-driven heuristic fallback parser (_mock_parse). This sub-parser utilizes compiled token matchers to extract numerical budgets in INR/USD/EUR, scans for categorical activity keywords (Nature, Sightseeing, Heritage, Shopping/Food, Religious/Spiritual, Adventure/Experience), and constructs an identical UserPreferences Pydantic object, ensuring seamless downstream pipeline execution.</w:t>
      </w:r>
    </w:p>
    <w:tbl>
      <w:tblPr>
        <w:tblW w:type="auto" w:w="0"/>
        <w:jc w:val="center"/>
        <w:tblLook w:firstColumn="1" w:firstRow="1" w:lastColumn="0" w:lastRow="0" w:noHBand="0" w:noVBand="1" w:val="04A0"/>
      </w:tblPr>
      <w:tblGrid>
        <w:gridCol w:w="3120"/>
        <w:gridCol w:w="3120"/>
        <w:gridCol w:w="3120"/>
      </w:tblGrid>
      <w:tr>
        <w:trPr>
          <w:cantSplit/>
        </w:trPr>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Pydantic Class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Key Attributes</w:t>
            </w:r>
          </w:p>
        </w:tc>
        <w:tc>
          <w:tcPr>
            <w:tcW w:type="dxa" w:w="3744"/>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Semantic Interpretation &amp; Constraints</w:t>
            </w:r>
          </w:p>
        </w:tc>
      </w:tr>
      <w:tr>
        <w:trPr>
          <w:cantSplit/>
        </w:trPr>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HardConstraints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max_budget (float), max_travel_time_hours (float), required_activities (List[str])</w:t>
            </w:r>
          </w:p>
        </w:tc>
        <w:tc>
          <w:tcPr>
            <w:tcW w:type="dxa" w:w="374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Represents non-negotiable personal boundaries. A violation triggers steep exponential penalty decays in fuzzy logic.</w:t>
            </w:r>
          </w:p>
        </w:tc>
      </w:tr>
      <w:tr>
        <w:trPr>
          <w:cantSplit/>
        </w:trPr>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SoftConstraints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target_budget (float), preferred_destination_types (List[str]), preferred_activities (List[str]), min_hotel_rating (float)</w:t>
            </w:r>
          </w:p>
        </w:tc>
        <w:tc>
          <w:tcPr>
            <w:tcW w:type="dxa" w:w="374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Represents desirable aspirational goals. Used by the HGAT and TOPSIS modules to rank packages when hard constraints are met.</w:t>
            </w:r>
          </w:p>
        </w:tc>
      </w:tr>
      <w:tr>
        <w:trPr>
          <w:cantSplit/>
        </w:trPr>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UserPreferences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user_id (str), raw_text (str), hard_constraints, soft_constraints, flexibility_score (float)</w:t>
            </w:r>
          </w:p>
        </w:tc>
        <w:tc>
          <w:tcPr>
            <w:tcW w:type="dxa" w:w="3744"/>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The unified contract modeling an individual traveler. The flexibility_score (0.0 to 1.0) controls the width of tolerance curves.</w:t>
            </w:r>
          </w:p>
        </w:tc>
      </w:tr>
      <w:tr>
        <w:trPr>
          <w:cantSplit/>
        </w:trPr>
        <w:tc>
          <w:tcPr>
            <w:tcW w:type="dxa" w:w="230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GroupPreferences</w:t>
            </w:r>
          </w:p>
        </w:tc>
        <w:tc>
          <w:tcPr>
            <w:tcW w:type="dxa" w:w="331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group_id (str), members (List[UserPreferences])</w:t>
            </w:r>
          </w:p>
        </w:tc>
        <w:tc>
          <w:tcPr>
            <w:tcW w:type="dxa" w:w="3744"/>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The composite group entity passed to the Nash bargaining optimizer and combinatorial package assembler.</w:t>
            </w:r>
          </w:p>
        </w:tc>
      </w:tr>
    </w:tbl>
    <w:p>
      <w:pPr>
        <w:keepNext/>
        <w:spacing w:before="360" w:after="120"/>
      </w:pPr>
      <w:r>
        <w:rPr>
          <w:rFonts w:ascii="Calibri" w:hAnsi="Calibri"/>
          <w:b/>
          <w:color w:val="0F172A"/>
          <w:sz w:val="34"/>
        </w:rPr>
        <w:t>4. Module 2: Heterogeneous Graph Attention Network (HGAT Model)</w:t>
      </w:r>
    </w:p>
    <w:p>
      <w:pPr>
        <w:spacing w:after="120" w:line="276" w:lineRule="auto"/>
      </w:pPr>
      <w:r>
        <w:rPr>
          <w:rFonts w:ascii="Calibri" w:hAnsi="Calibri"/>
          <w:color w:val="1E293B"/>
          <w:sz w:val="21"/>
        </w:rPr>
        <w:t>The relational backbone of the platform is implemented in src/graph/hgat_model.py and initialized via src/graph/build_graph.py using PyTorch Geometric (PyG). Traditional collaborative filtering is fundamentally limited by bipartite user-item interactions, ignoring rich multi-modal entities such as specific hotels, niche activities, and formal group memberships.</w:t>
      </w:r>
    </w:p>
    <w:p>
      <w:pPr>
        <w:keepNext/>
        <w:spacing w:before="280" w:after="80"/>
      </w:pPr>
      <w:r>
        <w:rPr>
          <w:rFonts w:ascii="Calibri" w:hAnsi="Calibri"/>
          <w:b/>
          <w:color w:val="0EA5E9"/>
          <w:sz w:val="27"/>
        </w:rPr>
        <w:t>4.1 Heterogeneous Graph Topology</w:t>
      </w:r>
    </w:p>
    <w:p>
      <w:pPr>
        <w:spacing w:after="120" w:line="276" w:lineRule="auto"/>
      </w:pPr>
      <w:r>
        <w:rPr>
          <w:rFonts w:ascii="Calibri" w:hAnsi="Calibri"/>
          <w:color w:val="1E293B"/>
          <w:sz w:val="21"/>
        </w:rPr>
        <w:t>The GRec_Tr-LLM knowledge graph formally models five heterogeneous node classes and eight canonical relation types:</w:t>
      </w:r>
    </w:p>
    <w:p>
      <w:pPr>
        <w:pStyle w:val="ListBullet"/>
        <w:spacing w:after="60" w:line="276" w:lineRule="auto"/>
      </w:pPr>
      <w:r>
        <w:rPr>
          <w:rFonts w:ascii="Calibri" w:hAnsi="Calibri"/>
          <w:b/>
          <w:color w:val="0F172A"/>
          <w:sz w:val="21"/>
        </w:rPr>
        <w:t xml:space="preserve">Vertex Topology: </w:t>
      </w:r>
      <w:r>
        <w:rPr>
          <w:rFonts w:ascii="Calibri" w:hAnsi="Calibri"/>
          <w:color w:val="1E293B"/>
          <w:sz w:val="21"/>
        </w:rPr>
        <w:t>Node Classes: User (V_u), Group (V_g), Destination (V_d), Hotel (V_h), and Activity (V_a).</w:t>
      </w:r>
    </w:p>
    <w:p>
      <w:pPr>
        <w:pStyle w:val="ListBullet"/>
        <w:spacing w:after="60" w:line="276" w:lineRule="auto"/>
      </w:pPr>
      <w:r>
        <w:rPr>
          <w:rFonts w:ascii="Calibri" w:hAnsi="Calibri"/>
          <w:b/>
          <w:color w:val="0F172A"/>
          <w:sz w:val="21"/>
        </w:rPr>
        <w:t xml:space="preserve">Edge Topology: </w:t>
      </w:r>
      <w:r>
        <w:rPr>
          <w:rFonts w:ascii="Calibri" w:hAnsi="Calibri"/>
          <w:color w:val="1E293B"/>
          <w:sz w:val="21"/>
        </w:rPr>
        <w:t>Edge Types: (User, rated, Destination) along with its reciprocal (Destination, rev_rated, User); (Destination, has, Hotel) and (Hotel, rev_has, Destination); (Destination, has, Activity) and (Activity, rev_has, Destination); and (User, member_of, Group) with (Group, rev_member_of, User).</w:t>
      </w:r>
    </w:p>
    <w:p>
      <w:pPr>
        <w:keepNext/>
        <w:spacing w:before="280" w:after="80"/>
      </w:pPr>
      <w:r>
        <w:rPr>
          <w:rFonts w:ascii="Calibri" w:hAnsi="Calibri"/>
          <w:b/>
          <w:color w:val="0EA5E9"/>
          <w:sz w:val="27"/>
        </w:rPr>
        <w:t>4.2 Multi-Head Attention Mechanism &amp; Cold-Start Projection</w:t>
      </w:r>
    </w:p>
    <w:p>
      <w:pPr>
        <w:spacing w:after="120" w:line="276" w:lineRule="auto"/>
      </w:pPr>
      <w:r>
        <w:rPr>
          <w:rFonts w:ascii="Calibri" w:hAnsi="Calibri"/>
          <w:color w:val="1E293B"/>
          <w:sz w:val="21"/>
        </w:rPr>
        <w:t>Because each node entity type is initialized with heterogeneous feature dimensionalities (e.g., users carry demographic and budget vectors, destinations carry coordinate and cost features, and hotels carry star-ratings), the HGATRecommender first applies specialized linear projection layers (nn.ModuleDict of Linear(-1, hidden_channels)) with LeakyReLU activations to map all entities into a shared d-dimensional latent manifold.</w:t>
      </w:r>
    </w:p>
    <w:p>
      <w:pPr>
        <w:spacing w:after="120" w:line="276" w:lineRule="auto"/>
      </w:pPr>
      <w:r>
        <w:rPr>
          <w:rFonts w:ascii="Calibri" w:hAnsi="Calibri"/>
          <w:color w:val="1E293B"/>
          <w:sz w:val="21"/>
        </w:rPr>
        <w:t>The message-passing architecture comprises two stacked HeteroConv layers. Within each relation r = (s, rel, t), Graph Attention (GATConv) computes dynamic attention coefficients alpha_ij representing the contextual importance of source node j to target node i:</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HETEROGENEOUS GRAPH ATTENTION</w:t>
              <w:br/>
            </w:r>
            <w:r>
              <w:rPr>
                <w:rFonts w:ascii="Calibri" w:hAnsi="Calibri"/>
                <w:i/>
                <w:color w:val="1E293B"/>
                <w:sz w:val="20"/>
              </w:rPr>
              <w:t>α_ij = exp( LeakyReLU( a^T [ W h_i || W h_j ] ) ) / ∑_{k ∈ N_i} exp( LeakyReLU( a^T [ W h_i || W h_k ] ) )</w:t>
              <w:br/>
              <w:br/>
              <w:t>h_i^(l+1) = σ( ∑_{r ∈ R} ∑_{j ∈ N_i^r} α_ij^r W^r h_j^l )</w:t>
            </w:r>
          </w:p>
        </w:tc>
      </w:tr>
    </w:tbl>
    <w:p>
      <w:pPr>
        <w:spacing w:after="80"/>
      </w:pPr>
    </w:p>
    <w:p>
      <w:pPr>
        <w:spacing w:after="120" w:line="276" w:lineRule="auto"/>
      </w:pPr>
      <w:r>
        <w:rPr>
          <w:rFonts w:ascii="Calibri" w:hAnsi="Calibri"/>
          <w:color w:val="1E293B"/>
          <w:sz w:val="21"/>
        </w:rPr>
        <w:t>For dynamically arriving group travelers with zero prior history in the interaction matrix (the acute Cold-Start Problem), GRec_Tr-LLM executes an on-the-fly feature projection. The traveler's parsed preferences are vectorized into a normalized feature tensor capturing budget, flexibility, and one-hot destination/activity encodings, projected through the trained user projection layer, and fed into a two-layer Multi-Layer Perceptron (RatingPredictor) to estimate base destination affinity scores.</w:t>
      </w:r>
    </w:p>
    <w:p>
      <w:pPr>
        <w:keepNext/>
        <w:spacing w:before="360" w:after="120"/>
      </w:pPr>
      <w:r>
        <w:rPr>
          <w:rFonts w:ascii="Calibri" w:hAnsi="Calibri"/>
          <w:b/>
          <w:color w:val="0F172A"/>
          <w:sz w:val="34"/>
        </w:rPr>
        <w:t>5. Module 3: Continuous Fuzzy Logic Constraint Satisfaction Evaluator</w:t>
      </w:r>
    </w:p>
    <w:p>
      <w:pPr>
        <w:spacing w:after="120" w:line="276" w:lineRule="auto"/>
      </w:pPr>
      <w:r>
        <w:rPr>
          <w:rFonts w:ascii="Calibri" w:hAnsi="Calibri"/>
          <w:color w:val="1E293B"/>
          <w:sz w:val="21"/>
        </w:rPr>
        <w:t>Implemented across src/fuzzy/constraint_satisfaction.py and src/fuzzy/gaussian_membership.py, the Fuzzy Constraint Evaluator replaces binary pass/fail filtering with continuous degrees of truth in the interval [0.0, 1.0]. In group travel, hard constraints are almost always slightly elastic; treating a ₹20,001 package as a complete failure for a ₹20,000 budget is practically irrational.</w:t>
      </w:r>
    </w:p>
    <w:p>
      <w:pPr>
        <w:keepNext/>
        <w:spacing w:before="280" w:after="80"/>
      </w:pPr>
      <w:r>
        <w:rPr>
          <w:rFonts w:ascii="Calibri" w:hAnsi="Calibri"/>
          <w:b/>
          <w:color w:val="0EA5E9"/>
          <w:sz w:val="27"/>
        </w:rPr>
        <w:t>5.1 Asymmetric Gaussian Membership Formulations</w:t>
      </w:r>
    </w:p>
    <w:p>
      <w:pPr>
        <w:spacing w:after="120" w:line="276" w:lineRule="auto"/>
      </w:pPr>
      <w:r>
        <w:rPr>
          <w:rFonts w:ascii="Calibri" w:hAnsi="Calibri"/>
          <w:color w:val="1E293B"/>
          <w:sz w:val="21"/>
        </w:rPr>
        <w:t>Constraints are partitioned into directional asymmetric Gaussian curves depending on whether lower or higher values represent satisfaction:</w:t>
      </w:r>
    </w:p>
    <w:p>
      <w:pPr>
        <w:pStyle w:val="ListBullet"/>
        <w:spacing w:after="60" w:line="276" w:lineRule="auto"/>
      </w:pPr>
      <w:r>
        <w:rPr>
          <w:rFonts w:ascii="Calibri" w:hAnsi="Calibri"/>
          <w:b/>
          <w:color w:val="0F172A"/>
          <w:sz w:val="21"/>
        </w:rPr>
        <w:t xml:space="preserve">Upper-Bounded Constraints (Budget &amp; Time): </w:t>
      </w:r>
      <w:r>
        <w:rPr>
          <w:rFonts w:ascii="Calibri" w:hAnsi="Calibri"/>
          <w:color w:val="1E293B"/>
          <w:sz w:val="21"/>
        </w:rPr>
        <w:t>For 'smaller-is-better' constraints (such as Total Package Cost and Flight Duration), satisfaction remains 1.0 (perfect) as long as actual value x &lt;= constraint limit c. Once x &gt; c, satisfaction decays smoothly according to: μ_≤(x; c, σ) = exp( - (x - c)^2 / (2 σ^2) ).</w:t>
      </w:r>
    </w:p>
    <w:p>
      <w:pPr>
        <w:pStyle w:val="ListBullet"/>
        <w:spacing w:after="60" w:line="276" w:lineRule="auto"/>
      </w:pPr>
      <w:r>
        <w:rPr>
          <w:rFonts w:ascii="Calibri" w:hAnsi="Calibri"/>
          <w:b/>
          <w:color w:val="0F172A"/>
          <w:sz w:val="21"/>
        </w:rPr>
        <w:t xml:space="preserve">Lower-Bounded Constraints (Hotel Quality): </w:t>
      </w:r>
      <w:r>
        <w:rPr>
          <w:rFonts w:ascii="Calibri" w:hAnsi="Calibri"/>
          <w:color w:val="1E293B"/>
          <w:sz w:val="21"/>
        </w:rPr>
        <w:t>For 'larger-is-better' attributes (such as Hotel Star Rating), satisfaction is 1.0 when actual rating x &gt;= min_rating c. If the hotel falls below threshold c, satisfaction decays via: μ_≥(x; c, σ) = exp( - (x - c)^2 / (2 σ^2) ).</w:t>
      </w:r>
    </w:p>
    <w:p>
      <w:pPr>
        <w:keepNext/>
        <w:spacing w:before="280" w:after="80"/>
      </w:pPr>
      <w:r>
        <w:rPr>
          <w:rFonts w:ascii="Calibri" w:hAnsi="Calibri"/>
          <w:b/>
          <w:color w:val="0EA5E9"/>
          <w:sz w:val="27"/>
        </w:rPr>
        <w:t>5.2 Dynamic Tolerance Scaling via User Flexibility</w:t>
      </w:r>
    </w:p>
    <w:p>
      <w:pPr>
        <w:spacing w:after="120" w:line="276" w:lineRule="auto"/>
      </w:pPr>
      <w:r>
        <w:rPr>
          <w:rFonts w:ascii="Calibri" w:hAnsi="Calibri"/>
          <w:color w:val="1E293B"/>
          <w:sz w:val="21"/>
        </w:rPr>
        <w:t>A critical innovation in GRec_Tr-LLM is that the standard deviation parameter sigma (representing tolerance width) is not static. It scales dynamically based on the traveler's inferred flexibility score f ∈ [0.0, 1.0]:</w:t>
        <w:br/>
        <w:t xml:space="preserve">    σ = c · tolerance_default · (2 · f)</w:t>
        <w:br/>
        <w:t>A rigid traveler (f = 0.2) yields a narrow Gaussian bell curve, causing steep utility degradation for minor violations. Conversely, a relaxed traveler (f = 0.8) exhibits a wide Gaussian curve, penalizing minor deviations gently. The module outputs budget satisfaction (b_sat), travel time satisfaction (t_sat), and hotel satisfaction (h_sat), yielding an aggregated continuous constraint satisfaction metric.</w:t>
      </w:r>
    </w:p>
    <w:p>
      <w:pPr>
        <w:keepNext/>
        <w:spacing w:before="360" w:after="120"/>
      </w:pPr>
      <w:r>
        <w:rPr>
          <w:rFonts w:ascii="Calibri" w:hAnsi="Calibri"/>
          <w:b/>
          <w:color w:val="0F172A"/>
          <w:sz w:val="34"/>
        </w:rPr>
        <w:t>6. Module 4: Multi-Criteria Decision Making (TOPSIS Engine)</w:t>
      </w:r>
    </w:p>
    <w:p>
      <w:pPr>
        <w:spacing w:after="120" w:line="276" w:lineRule="auto"/>
      </w:pPr>
      <w:r>
        <w:rPr>
          <w:rFonts w:ascii="Calibri" w:hAnsi="Calibri"/>
          <w:color w:val="1E293B"/>
          <w:sz w:val="21"/>
        </w:rPr>
        <w:t>Travel packages inherently encompass conflicting objectives: reducing overall cost, minimizing transit duration, maximizing hotel luxury, and maximizing activity diversity. To evaluate these multi-dimensional trade-offs without ad-hoc heuristic weighting, src/mcdm/topsis.py implements the Technique for Order of Preference by Similarity to Ideal Solution (TOPSIS).</w:t>
      </w:r>
    </w:p>
    <w:p>
      <w:pPr>
        <w:spacing w:after="120" w:line="276" w:lineRule="auto"/>
      </w:pPr>
      <w:r>
        <w:rPr>
          <w:rFonts w:ascii="Calibri" w:hAnsi="Calibri"/>
          <w:color w:val="1E293B"/>
          <w:sz w:val="21"/>
        </w:rPr>
        <w:t>The TOPSIS engine executes a rigorous geometric evaluation across m candidate packages and n criteria:</w:t>
      </w:r>
    </w:p>
    <w:p>
      <w:pPr>
        <w:pStyle w:val="ListBullet"/>
        <w:spacing w:after="60" w:line="276" w:lineRule="auto"/>
      </w:pPr>
      <w:r>
        <w:rPr>
          <w:rFonts w:ascii="Calibri" w:hAnsi="Calibri"/>
          <w:b/>
          <w:color w:val="0F172A"/>
          <w:sz w:val="21"/>
        </w:rPr>
        <w:t xml:space="preserve">Vector Normalization: </w:t>
      </w:r>
      <w:r>
        <w:rPr>
          <w:rFonts w:ascii="Calibri" w:hAnsi="Calibri"/>
          <w:color w:val="1E293B"/>
          <w:sz w:val="21"/>
        </w:rPr>
        <w:t>The decision matrix X_(m x n) is normalized via vector normalization: r_ij = x_ij / √( ∑_{k=1}^m x_kj^2 ) to eliminate arbitrary physical units.</w:t>
      </w:r>
    </w:p>
    <w:p>
      <w:pPr>
        <w:pStyle w:val="ListBullet"/>
        <w:spacing w:after="60" w:line="276" w:lineRule="auto"/>
      </w:pPr>
      <w:r>
        <w:rPr>
          <w:rFonts w:ascii="Calibri" w:hAnsi="Calibri"/>
          <w:b/>
          <w:color w:val="0F172A"/>
          <w:sz w:val="21"/>
        </w:rPr>
        <w:t xml:space="preserve">Weight Application: </w:t>
      </w:r>
      <w:r>
        <w:rPr>
          <w:rFonts w:ascii="Calibri" w:hAnsi="Calibri"/>
          <w:color w:val="1E293B"/>
          <w:sz w:val="21"/>
        </w:rPr>
        <w:t>Criteria weights w_j (normalized to ∑ w_j = 1.0) are applied to yield the weighted normalized decision matrix V = [ v_ij ] = [ w_j · r_ij ].</w:t>
      </w:r>
    </w:p>
    <w:p>
      <w:pPr>
        <w:pStyle w:val="ListBullet"/>
        <w:spacing w:after="60" w:line="276" w:lineRule="auto"/>
      </w:pPr>
      <w:r>
        <w:rPr>
          <w:rFonts w:ascii="Calibri" w:hAnsi="Calibri"/>
          <w:b/>
          <w:color w:val="0F172A"/>
          <w:sz w:val="21"/>
        </w:rPr>
        <w:t xml:space="preserve">Ideal Solutions Identification: </w:t>
      </w:r>
      <w:r>
        <w:rPr>
          <w:rFonts w:ascii="Calibri" w:hAnsi="Calibri"/>
          <w:color w:val="1E293B"/>
          <w:sz w:val="21"/>
        </w:rPr>
        <w:t>The Positive Ideal Solution (V+) is identified by taking the maximum weighted values for benefit criteria and minimum for cost criteria. The Negative Ideal Solution (V-) captures the opposite extremes.</w:t>
      </w:r>
    </w:p>
    <w:p>
      <w:pPr>
        <w:pStyle w:val="ListBullet"/>
        <w:spacing w:after="60" w:line="276" w:lineRule="auto"/>
      </w:pPr>
      <w:r>
        <w:rPr>
          <w:rFonts w:ascii="Calibri" w:hAnsi="Calibri"/>
          <w:b/>
          <w:color w:val="0F172A"/>
          <w:sz w:val="21"/>
        </w:rPr>
        <w:t xml:space="preserve">Euclidean Distance Calculation: </w:t>
      </w:r>
      <w:r>
        <w:rPr>
          <w:rFonts w:ascii="Calibri" w:hAnsi="Calibri"/>
          <w:color w:val="1E293B"/>
          <w:sz w:val="21"/>
        </w:rPr>
        <w:t>Geometric Euclidean distances from each candidate to V+ (D_i^+) and V- (D_i^-) are computed: D_i^+ = √( ∑ (v_ij - v_j^+)^2 ), D_i^- = √( ∑ (v_ij - v_j^-)^2 ).</w:t>
      </w:r>
    </w:p>
    <w:p>
      <w:pPr>
        <w:pStyle w:val="ListBullet"/>
        <w:spacing w:after="60" w:line="276" w:lineRule="auto"/>
      </w:pPr>
      <w:r>
        <w:rPr>
          <w:rFonts w:ascii="Calibri" w:hAnsi="Calibri"/>
          <w:b/>
          <w:color w:val="0F172A"/>
          <w:sz w:val="21"/>
        </w:rPr>
        <w:t xml:space="preserve">Closeness Metric: </w:t>
      </w:r>
      <w:r>
        <w:rPr>
          <w:rFonts w:ascii="Calibri" w:hAnsi="Calibri"/>
          <w:color w:val="1E293B"/>
          <w:sz w:val="21"/>
        </w:rPr>
        <w:t>The relative closeness coefficient is calculated: C_i = D_i^- / ( D_i^+ + D_i^- ). Packages with C_i closest to 1.0 represent optimal multi-attribute compromises.</w:t>
      </w:r>
    </w:p>
    <w:p>
      <w:pPr>
        <w:keepNext/>
        <w:spacing w:before="360" w:after="120"/>
      </w:pPr>
      <w:r>
        <w:rPr>
          <w:rFonts w:ascii="Calibri" w:hAnsi="Calibri"/>
          <w:b/>
          <w:color w:val="0F172A"/>
          <w:sz w:val="34"/>
        </w:rPr>
        <w:t>7. Module 5: Game-Theoretic Optimization (Nash Bargaining Solution)</w:t>
      </w:r>
    </w:p>
    <w:p>
      <w:pPr>
        <w:spacing w:after="120" w:line="276" w:lineRule="auto"/>
      </w:pPr>
      <w:r>
        <w:rPr>
          <w:rFonts w:ascii="Calibri" w:hAnsi="Calibri"/>
          <w:color w:val="1E293B"/>
          <w:sz w:val="21"/>
        </w:rPr>
        <w:t>The crowning component of the GRec_Tr-LLM consensus architecture is the axiomatic Nash Bargaining Optimizer in src/optimization/nash_bargaining.py. Standard group aggregators (such as the arithmetic mean of ratings) suffer from severe minority vulnerability: if 3 members rate a package 5.0 and 1 member rates it 1.0, the average is 4.0, which appears high despite one traveler suffering extreme misery.</w:t>
      </w:r>
    </w:p>
    <w:p>
      <w:pPr>
        <w:keepNext/>
        <w:spacing w:before="280" w:after="80"/>
      </w:pPr>
      <w:r>
        <w:rPr>
          <w:rFonts w:ascii="Calibri" w:hAnsi="Calibri"/>
          <w:b/>
          <w:color w:val="0EA5E9"/>
          <w:sz w:val="27"/>
        </w:rPr>
        <w:t>7.1 Axiomatic Fairness Foundations</w:t>
      </w:r>
    </w:p>
    <w:p>
      <w:pPr>
        <w:spacing w:after="120" w:line="276" w:lineRule="auto"/>
      </w:pPr>
      <w:r>
        <w:rPr>
          <w:rFonts w:ascii="Calibri" w:hAnsi="Calibri"/>
          <w:color w:val="1E293B"/>
          <w:sz w:val="21"/>
        </w:rPr>
        <w:t>John Nash's bargaining theorem proves that there exists a unique solution satisfying four fundamental axioms of social choice: (i) Pareto Optimality, (ii) Symmetry, (iii) Invariance to Affine Transformations, and (iv) Independence of Irrelevant Alternatives (IIA). The Nash Bargaining Solution maximizes the joint product of individual utility gains over each traveler's disagreement baseline (threat point d_i):</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0EA5E9"/>
              <w:top w:val="none"/>
              <w:right w:val="none"/>
              <w:bottom w:val="none"/>
            </w:tcBorders>
          </w:tcPr>
          <w:p>
            <w:pPr>
              <w:spacing w:after="40" w:line="276" w:lineRule="auto"/>
            </w:pPr>
            <w:r>
              <w:rPr>
                <w:rFonts w:ascii="Calibri" w:hAnsi="Calibri"/>
                <w:b/>
                <w:color w:val="0EA5E9"/>
                <w:sz w:val="22"/>
              </w:rPr>
              <w:t>MATHEMATICAL FORMULATION: NASH BARGAINING OBJECTIVE</w:t>
              <w:br/>
            </w:r>
            <w:r>
              <w:rPr>
                <w:rFonts w:ascii="Calibri" w:hAnsi="Calibri"/>
                <w:i/>
                <w:color w:val="1E293B"/>
                <w:sz w:val="20"/>
              </w:rPr>
              <w:t>max ∏_{i=1}^N ( u_i - d_i )^(ω_i)  subject to  u_i ≥ d_i</w:t>
              <w:br/>
              <w:br/>
              <w:t>Numerically Stable Log-Sum Formulation:</w:t>
              <w:br/>
              <w:t>max ∑_{i=1}^N ω_i · ln( max(0, u_i - d_i) + ε )</w:t>
            </w:r>
          </w:p>
        </w:tc>
      </w:tr>
    </w:tbl>
    <w:p>
      <w:pPr>
        <w:spacing w:after="80"/>
      </w:pPr>
    </w:p>
    <w:p>
      <w:pPr>
        <w:keepNext/>
        <w:spacing w:before="280" w:after="80"/>
      </w:pPr>
      <w:r>
        <w:rPr>
          <w:rFonts w:ascii="Calibri" w:hAnsi="Calibri"/>
          <w:b/>
          <w:color w:val="0EA5E9"/>
          <w:sz w:val="27"/>
        </w:rPr>
        <w:t>7.2 Dynamic Disagreement Point Modeling</w:t>
      </w:r>
    </w:p>
    <w:p>
      <w:pPr>
        <w:spacing w:after="120" w:line="276" w:lineRule="auto"/>
      </w:pPr>
      <w:r>
        <w:rPr>
          <w:rFonts w:ascii="Calibri" w:hAnsi="Calibri"/>
          <w:color w:val="1E293B"/>
          <w:sz w:val="21"/>
        </w:rPr>
        <w:t>In GRec_Tr-LLM, the disagreement baseline d_i is not set to an arbitrary zero; it is calculated dynamically across all candidate destinations as d_i = max(0.0, min_{c ∈ Feasible} u_ic - 0.1). By utilizing the sum-of-logs transformation with a stabilization factor (epsilon = 1e-5), the optimizer exhibits extreme sensitivity to low utilities. If any single member's utility u_i approaches their threat point d_i, the term ln(u_i - d_i) plunges toward negative infinity, mathematically disqualifying that package. This provides an absolute guarantee against group tyranny.</w:t>
      </w:r>
    </w:p>
    <w:p>
      <w:pPr>
        <w:keepNext/>
        <w:spacing w:before="360" w:after="120"/>
      </w:pPr>
      <w:r>
        <w:rPr>
          <w:rFonts w:ascii="Calibri" w:hAnsi="Calibri"/>
          <w:b/>
          <w:color w:val="0F172A"/>
          <w:sz w:val="34"/>
        </w:rPr>
        <w:t>8. Module 6: Combinatorial Itinerary Assembler &amp; Integrated Pipeline</w:t>
      </w:r>
    </w:p>
    <w:p>
      <w:pPr>
        <w:spacing w:after="120" w:line="276" w:lineRule="auto"/>
      </w:pPr>
      <w:r>
        <w:rPr>
          <w:rFonts w:ascii="Calibri" w:hAnsi="Calibri"/>
          <w:color w:val="1E293B"/>
          <w:sz w:val="21"/>
        </w:rPr>
        <w:t>Implemented in src/recommendation/integrated_package.py, the combinatorial package generator bridges abstract city recommendations with concrete, bookable travel packages. Rather than presenting isolated destination names, the pipeline constructs full packages comprising:</w:t>
      </w:r>
    </w:p>
    <w:p>
      <w:pPr>
        <w:pStyle w:val="ListBullet"/>
        <w:spacing w:after="60" w:line="276" w:lineRule="auto"/>
      </w:pPr>
      <w:r>
        <w:rPr>
          <w:rFonts w:ascii="Calibri" w:hAnsi="Calibri"/>
          <w:b/>
          <w:color w:val="0F172A"/>
          <w:sz w:val="21"/>
        </w:rPr>
        <w:t xml:space="preserve">1. Flight &amp; Transit Segment: </w:t>
      </w:r>
      <w:r>
        <w:rPr>
          <w:rFonts w:ascii="Calibri" w:hAnsi="Calibri"/>
          <w:color w:val="1E293B"/>
          <w:sz w:val="21"/>
        </w:rPr>
        <w:t>Direct or optimized transit options from the flights repository, tracking airline price and duration.</w:t>
      </w:r>
    </w:p>
    <w:p>
      <w:pPr>
        <w:pStyle w:val="ListBullet"/>
        <w:spacing w:after="60" w:line="276" w:lineRule="auto"/>
      </w:pPr>
      <w:r>
        <w:rPr>
          <w:rFonts w:ascii="Calibri" w:hAnsi="Calibri"/>
          <w:b/>
          <w:color w:val="0F172A"/>
          <w:sz w:val="21"/>
        </w:rPr>
        <w:t xml:space="preserve">2. Accommodation Segment: </w:t>
      </w:r>
      <w:r>
        <w:rPr>
          <w:rFonts w:ascii="Calibri" w:hAnsi="Calibri"/>
          <w:color w:val="1E293B"/>
          <w:sz w:val="21"/>
        </w:rPr>
        <w:t>Accommodations selected from the verified hotels database, tracking nightly price and star rating.</w:t>
      </w:r>
    </w:p>
    <w:p>
      <w:pPr>
        <w:pStyle w:val="ListBullet"/>
        <w:spacing w:after="60" w:line="276" w:lineRule="auto"/>
      </w:pPr>
      <w:r>
        <w:rPr>
          <w:rFonts w:ascii="Calibri" w:hAnsi="Calibri"/>
          <w:b/>
          <w:color w:val="0F172A"/>
          <w:sz w:val="21"/>
        </w:rPr>
        <w:t xml:space="preserve">3. Attraction &amp; Activity Bundle: </w:t>
      </w:r>
      <w:r>
        <w:rPr>
          <w:rFonts w:ascii="Calibri" w:hAnsi="Calibri"/>
          <w:color w:val="1E293B"/>
          <w:sz w:val="21"/>
        </w:rPr>
        <w:t>Curated activities selected from destination activity catalogs, capturing entry fees and interest categories.</w:t>
      </w:r>
    </w:p>
    <w:p>
      <w:pPr>
        <w:spacing w:after="120" w:line="276" w:lineRule="auto"/>
      </w:pPr>
      <w:r>
        <w:rPr>
          <w:rFonts w:ascii="Calibri" w:hAnsi="Calibri"/>
          <w:color w:val="1E293B"/>
          <w:sz w:val="21"/>
        </w:rPr>
        <w:t>The overall unified score for candidate package p across group G is computed via a hybrid weighted formulation:</w:t>
        <w:br/>
        <w:t xml:space="preserve">    S_total(p) = α · S_HGAT(p) + β · S_Fuzzy(p) + γ · S_MCDM(p) + δ · S_Nash(p)</w:t>
        <w:br/>
        <w:t>with default hyperparameter weights set to alpha = 0.30, beta = 0.30, gamma = 0.20, and delta = 0.20.</w:t>
      </w:r>
    </w:p>
    <w:p>
      <w:pPr>
        <w:keepNext/>
        <w:spacing w:before="280" w:after="80"/>
      </w:pPr>
      <w:r>
        <w:rPr>
          <w:rFonts w:ascii="Calibri" w:hAnsi="Calibri"/>
          <w:b/>
          <w:color w:val="0EA5E9"/>
          <w:sz w:val="27"/>
        </w:rPr>
        <w:t>8.3 Comparative 4-Way Ablation Pipeline</w:t>
      </w:r>
    </w:p>
    <w:p>
      <w:pPr>
        <w:spacing w:after="120" w:line="276" w:lineRule="auto"/>
      </w:pPr>
      <w:r>
        <w:rPr>
          <w:rFonts w:ascii="Calibri" w:hAnsi="Calibri"/>
          <w:color w:val="1E293B"/>
          <w:sz w:val="21"/>
        </w:rPr>
        <w:t>To empower researchers and end-users to witness how each mathematical layer refines recommendations, every API execution automatically computes four parallel recommendation models:</w:t>
      </w:r>
    </w:p>
    <w:p>
      <w:pPr>
        <w:pStyle w:val="ListBullet"/>
        <w:spacing w:after="60" w:line="276" w:lineRule="auto"/>
      </w:pPr>
      <w:r>
        <w:rPr>
          <w:rFonts w:ascii="Calibri" w:hAnsi="Calibri"/>
          <w:b/>
          <w:color w:val="0F172A"/>
          <w:sz w:val="21"/>
        </w:rPr>
        <w:t xml:space="preserve">1. Baseline Model: </w:t>
      </w:r>
      <w:r>
        <w:rPr>
          <w:rFonts w:ascii="Calibri" w:hAnsi="Calibri"/>
          <w:color w:val="1E293B"/>
          <w:sz w:val="21"/>
        </w:rPr>
        <w:t>Standard Collaborative Filtering using Pearson similarity and average group aggregation, constrained strictly by crisp hard boundaries.</w:t>
      </w:r>
    </w:p>
    <w:p>
      <w:pPr>
        <w:pStyle w:val="ListBullet"/>
        <w:spacing w:after="60" w:line="276" w:lineRule="auto"/>
      </w:pPr>
      <w:r>
        <w:rPr>
          <w:rFonts w:ascii="Calibri" w:hAnsi="Calibri"/>
          <w:b/>
          <w:color w:val="0F172A"/>
          <w:sz w:val="21"/>
        </w:rPr>
        <w:t xml:space="preserve">2. HGAT Neural Model: </w:t>
      </w:r>
      <w:r>
        <w:rPr>
          <w:rFonts w:ascii="Calibri" w:hAnsi="Calibri"/>
          <w:color w:val="1E293B"/>
          <w:sz w:val="21"/>
        </w:rPr>
        <w:t>LLM parsing combined with HGAT graph attention representations, ranking purely by predicted relational affinity.</w:t>
      </w:r>
    </w:p>
    <w:p>
      <w:pPr>
        <w:pStyle w:val="ListBullet"/>
        <w:spacing w:after="60" w:line="276" w:lineRule="auto"/>
      </w:pPr>
      <w:r>
        <w:rPr>
          <w:rFonts w:ascii="Calibri" w:hAnsi="Calibri"/>
          <w:b/>
          <w:color w:val="0F172A"/>
          <w:sz w:val="21"/>
        </w:rPr>
        <w:t xml:space="preserve">3. Fuzzy Elastic Model: </w:t>
      </w:r>
      <w:r>
        <w:rPr>
          <w:rFonts w:ascii="Calibri" w:hAnsi="Calibri"/>
          <w:color w:val="1E293B"/>
          <w:sz w:val="21"/>
        </w:rPr>
        <w:t>LLM + HGAT combined with continuous Gaussian fuzzy constraint evaluation.</w:t>
      </w:r>
    </w:p>
    <w:p>
      <w:pPr>
        <w:pStyle w:val="ListBullet"/>
        <w:spacing w:after="60" w:line="276" w:lineRule="auto"/>
      </w:pPr>
      <w:r>
        <w:rPr>
          <w:rFonts w:ascii="Calibri" w:hAnsi="Calibri"/>
          <w:b/>
          <w:color w:val="0F172A"/>
          <w:sz w:val="21"/>
        </w:rPr>
        <w:t xml:space="preserve">4. Full Model (Nash Consensus): </w:t>
      </w:r>
      <w:r>
        <w:rPr>
          <w:rFonts w:ascii="Calibri" w:hAnsi="Calibri"/>
          <w:color w:val="1E293B"/>
          <w:sz w:val="21"/>
        </w:rPr>
        <w:t>The comprehensive GRec_Tr-LLM pipeline incorporating Nash Bargaining for absolute group equity.</w:t>
      </w:r>
    </w:p>
    <w:p>
      <w:pPr>
        <w:keepNext/>
        <w:spacing w:before="360" w:after="120"/>
      </w:pPr>
      <w:r>
        <w:rPr>
          <w:rFonts w:ascii="Calibri" w:hAnsi="Calibri"/>
          <w:b/>
          <w:color w:val="0F172A"/>
          <w:sz w:val="34"/>
        </w:rPr>
        <w:t>9. Comparative Architectural Matrix: Base GRec_Tr vs. Proposed GRec_Tr-LLM</w:t>
      </w:r>
    </w:p>
    <w:p>
      <w:pPr>
        <w:spacing w:after="120" w:line="276" w:lineRule="auto"/>
      </w:pPr>
      <w:r>
        <w:rPr>
          <w:rFonts w:ascii="Calibri" w:hAnsi="Calibri"/>
          <w:color w:val="1E293B"/>
          <w:sz w:val="21"/>
        </w:rPr>
        <w:t>To contextualize the scientific advancement introduced by this platform, the following comparative matrix contrasts the baseline paper's architecture with our implemented framework across seven foundational dimensions:</w:t>
      </w:r>
    </w:p>
    <w:tbl>
      <w:tblPr>
        <w:tblW w:type="auto" w:w="0"/>
        <w:jc w:val="center"/>
        <w:tblLook w:firstColumn="1" w:firstRow="1" w:lastColumn="0" w:lastRow="0" w:noHBand="0" w:noVBand="1" w:val="04A0"/>
      </w:tblPr>
      <w:tblGrid>
        <w:gridCol w:w="3120"/>
        <w:gridCol w:w="3120"/>
        <w:gridCol w:w="3120"/>
      </w:tblGrid>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Evaluation Dimension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Base System (GRec_Tr)</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Proposed Platform (GRec_Tr-LLM)</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Input Processing</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Explicit form dropdowns and rigid numerical limit fields.</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Natural language conversational input parsed deterministically via LLM/Regex into strict Pydantic schemas.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Graph Representation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Standard bipartite User-Item matrix with Pearson Collaborative Filtering.</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Heterogeneous Graph (5 node types, 8 relation types) with 2-layer Graph Attention Networks (HGAT).</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Constraint Logic</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Group Approximate Constraint Satisfaction (step-wise relaxation).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Continuous Asymmetric Gaussian Fuzzy Logic with user flexibility scaling.</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Multi-Criteria Evaluation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Simple weighted arithmetic sum of individual criterion scores.</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Geometric TOPSIS MCDM evaluating Euclidean distance to ideal and negative-ideal vectors.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Fairness &amp; Consensus</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Average Utility or Least Misery heuristics (vulnerable to minority marginalization).</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Axiomatic Nash Bargaining Solution maximizing joint product of log gains over threat points.</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Output Deliverable</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Standalone city or destination ranking.</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Fully synthesized combinatorial package (Flight + Verified Hotel + Curated Activities + Cost Breakdown).</w:t>
            </w:r>
          </w:p>
        </w:tc>
      </w:tr>
      <w:tr>
        <w:trPr>
          <w:cantSplit/>
        </w:trPr>
        <w:tc>
          <w:tcPr>
            <w:tcW w:type="dxa" w:w="216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Cold-Start Strategy</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Global destination average rating fallback.</w:t>
            </w:r>
          </w:p>
        </w:tc>
        <w:tc>
          <w:tcPr>
            <w:tcW w:type="dxa" w:w="360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Neural linear projection of vectorized preferences into HGAT user embedding space.</w:t>
            </w:r>
          </w:p>
        </w:tc>
      </w:tr>
    </w:tbl>
    <w:p>
      <w:pPr>
        <w:keepNext/>
        <w:spacing w:before="360" w:after="120"/>
      </w:pPr>
      <w:r>
        <w:rPr>
          <w:rFonts w:ascii="Calibri" w:hAnsi="Calibri"/>
          <w:b/>
          <w:color w:val="0F172A"/>
          <w:sz w:val="34"/>
        </w:rPr>
        <w:t>10. Frontend Architecture: Glassmorphic UI &amp; Interactive Visualizations</w:t>
      </w:r>
    </w:p>
    <w:p>
      <w:pPr>
        <w:spacing w:after="120" w:line="276" w:lineRule="auto"/>
      </w:pPr>
      <w:r>
        <w:rPr>
          <w:rFonts w:ascii="Calibri" w:hAnsi="Calibri"/>
          <w:color w:val="1E293B"/>
          <w:sz w:val="21"/>
        </w:rPr>
        <w:t>The client-side interface is engineered in Next.js 16 (React 19) featuring a cutting-edge, glassmorphic dark-mode design system defined in globals.css. Key interface components include:</w:t>
      </w:r>
    </w:p>
    <w:p>
      <w:pPr>
        <w:keepNext/>
        <w:spacing w:before="280" w:after="80"/>
      </w:pPr>
      <w:r>
        <w:rPr>
          <w:rFonts w:ascii="Calibri" w:hAnsi="Calibri"/>
          <w:b/>
          <w:color w:val="0EA5E9"/>
          <w:sz w:val="27"/>
        </w:rPr>
        <w:t>10.1 Dynamic Multi-Traveler Form (app/travel/page.js)</w:t>
      </w:r>
    </w:p>
    <w:p>
      <w:pPr>
        <w:spacing w:after="120" w:line="276" w:lineRule="auto"/>
      </w:pPr>
      <w:r>
        <w:rPr>
          <w:rFonts w:ascii="Calibri" w:hAnsi="Calibri"/>
          <w:color w:val="1E293B"/>
          <w:sz w:val="21"/>
        </w:rPr>
        <w:t>Users specify the exact group size (from 1 to 10 travelers). The interface dynamically generates isolated textareas for each traveler, accompanied by illustrative natural language placeholders demonstrating budget, flight duration, and activity specifications.</w:t>
      </w:r>
    </w:p>
    <w:p>
      <w:pPr>
        <w:keepNext/>
        <w:spacing w:before="280" w:after="80"/>
      </w:pPr>
      <w:r>
        <w:rPr>
          <w:rFonts w:ascii="Calibri" w:hAnsi="Calibri"/>
          <w:b/>
          <w:color w:val="0EA5E9"/>
          <w:sz w:val="27"/>
        </w:rPr>
        <w:t>10.2 SVG Satisfaction Line Graph &amp; Bar Chart (app/components/SatisfactionChart.js)</w:t>
      </w:r>
    </w:p>
    <w:p>
      <w:pPr>
        <w:spacing w:after="120" w:line="276" w:lineRule="auto"/>
      </w:pPr>
      <w:r>
        <w:rPr>
          <w:rFonts w:ascii="Calibri" w:hAnsi="Calibri"/>
          <w:color w:val="1E293B"/>
          <w:sz w:val="21"/>
        </w:rPr>
        <w:t>To provide instant visual feedback on group equity, GRec_Tr-LLM implements a zero-dependency, pure SVG interactive visualization component. It features:</w:t>
      </w:r>
    </w:p>
    <w:p>
      <w:pPr>
        <w:pStyle w:val="ListBullet"/>
        <w:spacing w:after="60" w:line="276" w:lineRule="auto"/>
      </w:pPr>
      <w:r>
        <w:rPr>
          <w:rFonts w:ascii="Calibri" w:hAnsi="Calibri"/>
          <w:b/>
          <w:color w:val="0F172A"/>
          <w:sz w:val="21"/>
        </w:rPr>
        <w:t xml:space="preserve">Satisfaction Trendline Curve: </w:t>
      </w:r>
      <w:r>
        <w:rPr>
          <w:rFonts w:ascii="Calibri" w:hAnsi="Calibri"/>
          <w:color w:val="1E293B"/>
          <w:sz w:val="21"/>
        </w:rPr>
        <w:t>Continuous multi-stop gradient curve (#0EA5E9 -&gt; #6366F1 -&gt; #F43F5E) showing utility progression across members.</w:t>
      </w:r>
    </w:p>
    <w:p>
      <w:pPr>
        <w:pStyle w:val="ListBullet"/>
        <w:spacing w:after="60" w:line="276" w:lineRule="auto"/>
      </w:pPr>
      <w:r>
        <w:rPr>
          <w:rFonts w:ascii="Calibri" w:hAnsi="Calibri"/>
          <w:b/>
          <w:color w:val="0F172A"/>
          <w:sz w:val="21"/>
        </w:rPr>
        <w:t xml:space="preserve">Area Shading: </w:t>
      </w:r>
      <w:r>
        <w:rPr>
          <w:rFonts w:ascii="Calibri" w:hAnsi="Calibri"/>
          <w:color w:val="1E293B"/>
          <w:sz w:val="21"/>
        </w:rPr>
        <w:t>Subtle translucent gradient fill under the line path to represent cumulative group utility area.</w:t>
      </w:r>
    </w:p>
    <w:p>
      <w:pPr>
        <w:pStyle w:val="ListBullet"/>
        <w:spacing w:after="60" w:line="276" w:lineRule="auto"/>
      </w:pPr>
      <w:r>
        <w:rPr>
          <w:rFonts w:ascii="Calibri" w:hAnsi="Calibri"/>
          <w:b/>
          <w:color w:val="0F172A"/>
          <w:sz w:val="21"/>
        </w:rPr>
        <w:t xml:space="preserve">Group Average Benchmark Guideline: </w:t>
      </w:r>
      <w:r>
        <w:rPr>
          <w:rFonts w:ascii="Calibri" w:hAnsi="Calibri"/>
          <w:color w:val="1E293B"/>
          <w:sz w:val="21"/>
        </w:rPr>
        <w:t>Dashed green horizontal line representing the group arithmetic mean utility (e.g., 'Avg 4.22').</w:t>
      </w:r>
    </w:p>
    <w:p>
      <w:pPr>
        <w:pStyle w:val="ListBullet"/>
        <w:spacing w:after="60" w:line="276" w:lineRule="auto"/>
      </w:pPr>
      <w:r>
        <w:rPr>
          <w:rFonts w:ascii="Calibri" w:hAnsi="Calibri"/>
          <w:b/>
          <w:color w:val="0F172A"/>
          <w:sz w:val="21"/>
        </w:rPr>
        <w:t xml:space="preserve">Interactive Data Nodes: </w:t>
      </w:r>
      <w:r>
        <w:rPr>
          <w:rFonts w:ascii="Calibri" w:hAnsi="Calibri"/>
          <w:color w:val="1E293B"/>
          <w:sz w:val="21"/>
        </w:rPr>
        <w:t>Individual circular nodes displaying precise member ratings (e.g., '4.15★') and percentage scores.</w:t>
      </w:r>
    </w:p>
    <w:p>
      <w:pPr>
        <w:pStyle w:val="ListBullet"/>
        <w:spacing w:after="60" w:line="276" w:lineRule="auto"/>
      </w:pPr>
      <w:r>
        <w:rPr>
          <w:rFonts w:ascii="Calibri" w:hAnsi="Calibri"/>
          <w:b/>
          <w:color w:val="0F172A"/>
          <w:sz w:val="21"/>
        </w:rPr>
        <w:t xml:space="preserve">Fairness Metrics Header: </w:t>
      </w:r>
      <w:r>
        <w:rPr>
          <w:rFonts w:ascii="Calibri" w:hAnsi="Calibri"/>
          <w:color w:val="1E293B"/>
          <w:sz w:val="21"/>
        </w:rPr>
        <w:t>Real-time summary chips highlighting Average Satisfaction, Least Misery (Min Utility), Peak Satisfaction, and Fairness Disparity (Δ).</w:t>
      </w:r>
    </w:p>
    <w:p>
      <w:pPr>
        <w:pStyle w:val="ListBullet"/>
        <w:spacing w:after="60" w:line="276" w:lineRule="auto"/>
      </w:pPr>
      <w:r>
        <w:rPr>
          <w:rFonts w:ascii="Calibri" w:hAnsi="Calibri"/>
          <w:b/>
          <w:color w:val="0F172A"/>
          <w:sz w:val="21"/>
        </w:rPr>
        <w:t xml:space="preserve">Multi-View Switcher: </w:t>
      </w:r>
      <w:r>
        <w:rPr>
          <w:rFonts w:ascii="Calibri" w:hAnsi="Calibri"/>
          <w:color w:val="1E293B"/>
          <w:sz w:val="21"/>
        </w:rPr>
        <w:t>Seamless toggle buttons allowing users to switch between Line Graph, Bar Chart, or Comparative Both Views.</w:t>
      </w:r>
    </w:p>
    <w:p>
      <w:pPr>
        <w:keepNext/>
        <w:spacing w:before="280" w:after="80"/>
      </w:pPr>
      <w:r>
        <w:rPr>
          <w:rFonts w:ascii="Calibri" w:hAnsi="Calibri"/>
          <w:b/>
          <w:color w:val="0EA5E9"/>
          <w:sz w:val="27"/>
        </w:rPr>
        <w:t>10.3 50-Destination Image CDN &amp; Right-Corner Showcase (DestinationThumbnail.js)</w:t>
      </w:r>
    </w:p>
    <w:p>
      <w:pPr>
        <w:spacing w:after="120" w:line="276" w:lineRule="auto"/>
      </w:pPr>
      <w:r>
        <w:rPr>
          <w:rFonts w:ascii="Calibri" w:hAnsi="Calibri"/>
          <w:color w:val="1E293B"/>
          <w:sz w:val="21"/>
        </w:rPr>
        <w:t>To ensure a rich, immersive aesthetic, the platform hosts local, verified photography for all 50 destinations in public/destinations/*.jpg. The winning recommendation card positions an enlarged 230px x 145px showcase image in the top-right corner, equipped with frosted glass location badges, hover zoom micro-animations, and a full-screen high-resolution lightbox modal.</w:t>
      </w:r>
    </w:p>
    <w:p>
      <w:pPr>
        <w:keepNext/>
        <w:spacing w:before="360" w:after="120"/>
      </w:pPr>
      <w:r>
        <w:rPr>
          <w:rFonts w:ascii="Calibri" w:hAnsi="Calibri"/>
          <w:b/>
          <w:color w:val="0F172A"/>
          <w:sz w:val="34"/>
        </w:rPr>
        <w:t>11. System Setup, Deployment Specifications &amp; API Reference</w:t>
      </w:r>
    </w:p>
    <w:p>
      <w:pPr>
        <w:spacing w:after="120" w:line="276" w:lineRule="auto"/>
      </w:pPr>
      <w:r>
        <w:rPr>
          <w:rFonts w:ascii="Calibri" w:hAnsi="Calibri"/>
          <w:color w:val="1E293B"/>
          <w:sz w:val="21"/>
        </w:rPr>
        <w:t>The project is structured for immediate reproducibility across local development environments and cloud container clusters. The primary RESTful API endpoints exposed by the FastAPI backend (app.py) include:</w:t>
      </w:r>
    </w:p>
    <w:tbl>
      <w:tblPr>
        <w:tblW w:type="auto" w:w="0"/>
        <w:jc w:val="center"/>
        <w:tblLook w:firstColumn="1" w:firstRow="1" w:lastColumn="0" w:lastRow="0" w:noHBand="0" w:noVBand="1" w:val="04A0"/>
      </w:tblPr>
      <w:tblGrid>
        <w:gridCol w:w="3120"/>
        <w:gridCol w:w="3120"/>
        <w:gridCol w:w="3120"/>
      </w:tblGrid>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Endpoint URL</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HTTP Method</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0EA5E9"/>
          </w:tcPr>
          <w:p>
            <w:pPr>
              <w:spacing w:after="40"/>
            </w:pPr>
            <w:r>
              <w:rPr>
                <w:rFonts w:ascii="Calibri" w:hAnsi="Calibri"/>
                <w:b/>
                <w:color w:val="FFFFFF"/>
                <w:sz w:val="19"/>
              </w:rPr>
              <w:t>Payload &amp; Functionality</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/api/recommend-nlp</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POST</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Accepts array of natural language traveler descriptions; executes full NLP -&gt; HGAT -&gt; Fuzzy -&gt; TOPSIS -&gt; Nash pipeline; returns winning destination, package items, parsed preferences, and 4 ablation models.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/api/recommend</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POST</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Legacy structured endpoint accepting explicit budget, days, and traveler destination/interest arrays.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/api/book</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POST</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Persists a confirmed group itinerary to the updated Excel dataset, generating unique Group_ID and Traveler_ID tracking keys.</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/api/booked-trips</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GET</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FFFFFF"/>
          </w:tcPr>
          <w:p>
            <w:pPr>
              <w:spacing w:after="40"/>
            </w:pPr>
            <w:r>
              <w:rPr>
                <w:rFonts w:ascii="Calibri" w:hAnsi="Calibri"/>
                <w:color w:val="1E293B"/>
                <w:sz w:val="19"/>
              </w:rPr>
              <w:t>Fetches all recently booked trips and returns real-time booking accuracy telemetry.</w:t>
            </w:r>
          </w:p>
        </w:tc>
      </w:tr>
      <w:tr>
        <w:trPr>
          <w:cantSplit/>
        </w:trPr>
        <w:tc>
          <w:tcPr>
            <w:tcW w:type="dxa" w:w="2592"/>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/api/admin/dataset</w:t>
            </w:r>
          </w:p>
        </w:tc>
        <w:tc>
          <w:tcPr>
            <w:tcW w:type="dxa" w:w="1440"/>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GET</w:t>
            </w:r>
          </w:p>
        </w:tc>
        <w:tc>
          <w:tcPr>
            <w:tcW w:type="dxa" w:w="5328"/>
            <w:tcMar>
              <w:top w:w="100" w:type="dxa"/>
              <w:bottom w:w="100" w:type="dxa"/>
              <w:left w:w="120" w:type="dxa"/>
              <w:right w:w="120" w:type="dxa"/>
            </w:tcMar>
            <w:tcBorders>
              <w:top w:val="single" w:sz="4" w:space="0" w:color="CBD5E1"/>
              <w:bottom w:val="single" w:sz="4" w:space="0" w:color="CBD5E1"/>
              <w:left w:val="none"/>
              <w:right w:val="none"/>
            </w:tcBorders>
            <w:shd w:fill="F8FAFC"/>
          </w:tcPr>
          <w:p>
            <w:pPr>
              <w:spacing w:after="40"/>
            </w:pPr>
            <w:r>
              <w:rPr>
                <w:rFonts w:ascii="Calibri" w:hAnsi="Calibri"/>
                <w:color w:val="1E293B"/>
                <w:sz w:val="19"/>
              </w:rPr>
              <w:t>Serves training dataset metadata, total record counts (1,000), unique group counts (250), top destinations, and comprehensive evaluation metrics to the Admin Dashboard.</w:t>
            </w:r>
          </w:p>
        </w:tc>
      </w:tr>
    </w:tbl>
    <w:p>
      <w:pPr>
        <w:spacing w:after="40" w:line="276" w:lineRule="auto"/>
      </w:pPr>
      <w:r>
        <w:rPr>
          <w:rFonts w:ascii="Calibri" w:hAnsi="Calibri"/>
          <w:b/>
          <w:color w:val="0F172A"/>
          <w:sz w:val="21"/>
        </w:rPr>
        <w:t xml:space="preserve">System Startup: </w:t>
      </w:r>
      <w:r>
        <w:rPr>
          <w:rFonts w:ascii="Calibri" w:hAnsi="Calibri"/>
          <w:color w:val="1E293B"/>
          <w:sz w:val="21"/>
        </w:rPr>
        <w:t>Execution Commands Summary:</w:t>
      </w:r>
    </w:p>
    <w:p>
      <w:pPr>
        <w:pStyle w:val="ListBullet"/>
        <w:spacing w:after="60" w:line="276" w:lineRule="auto"/>
      </w:pPr>
      <w:r>
        <w:rPr>
          <w:rFonts w:ascii="Calibri" w:hAnsi="Calibri"/>
          <w:b/>
          <w:color w:val="0F172A"/>
          <w:sz w:val="21"/>
        </w:rPr>
        <w:t xml:space="preserve">Backend: </w:t>
      </w:r>
      <w:r>
        <w:rPr>
          <w:rFonts w:ascii="Calibri" w:hAnsi="Calibri"/>
          <w:color w:val="1E293B"/>
          <w:sz w:val="21"/>
        </w:rPr>
        <w:t>cd backend/GRec_Tr_LLM; .\venv\Scripts\python.exe app.py (Runs on port 8000)</w:t>
      </w:r>
    </w:p>
    <w:p>
      <w:pPr>
        <w:pStyle w:val="ListBullet"/>
        <w:spacing w:after="60" w:line="276" w:lineRule="auto"/>
      </w:pPr>
      <w:r>
        <w:rPr>
          <w:rFonts w:ascii="Calibri" w:hAnsi="Calibri"/>
          <w:b/>
          <w:color w:val="0F172A"/>
          <w:sz w:val="21"/>
        </w:rPr>
        <w:t xml:space="preserve">Frontend: </w:t>
      </w:r>
      <w:r>
        <w:rPr>
          <w:rFonts w:ascii="Calibri" w:hAnsi="Calibri"/>
          <w:color w:val="1E293B"/>
          <w:sz w:val="21"/>
        </w:rPr>
        <w:t>npm run dev (Runs Next.js on port 3000)</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AI-Powered Trip Planner for Seamless Travel Experiences — Confidential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GRec_Tr-LLM Documentation | System Implementation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