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064A56"/>
          <w:sz w:val="38"/>
          <w:szCs w:val="38"/>
        </w:rPr>
        <w:t xml:space="preserve">Freight Rate Prediction Report</w:t>
      </w:r>
    </w:p>
    <w:p>
      <w:pPr>
        <w:pBdr>
          <w:bottom w:val="single" w:color="064A56" w:sz="8" w:space="6"/>
        </w:pBdr>
        <w:spacing w:after="200"/>
      </w:pPr>
      <w:r>
        <w:rPr>
          <w:i/>
          <w:iCs/>
          <w:color w:val="455A60"/>
          <w:sz w:val="20"/>
          <w:szCs w:val="20"/>
        </w:rPr>
        <w:t xml:space="preserve">Model: linear regression (NumPy least squares). Notebook: freight_rate.ipynb.</w:t>
      </w:r>
    </w:p>
    <w:p>
      <w:pPr>
        <w:pStyle w:val="Heading1"/>
        <w:spacing w:after="120" w:before="240"/>
      </w:pPr>
      <w:r>
        <w:rPr>
          <w:b/>
          <w:bCs/>
          <w:color w:val="064A56"/>
          <w:sz w:val="27"/>
          <w:szCs w:val="27"/>
        </w:rPr>
        <w:t xml:space="preserve">Approach to train / validation split</w:t>
      </w:r>
    </w:p>
    <w:p>
      <w:pPr>
        <w:spacing w:after="140"/>
      </w:pPr>
      <w:r>
        <w:rPr>
          <w:sz w:val="21"/>
          <w:szCs w:val="21"/>
        </w:rPr>
        <w:t xml:space="preserve">Labeled development data covers January 1 through October 31, 2025 (48,000 loads). The required scoring file is November–December 2025. Because the real task is to predict later dates, I did not use a random split.</w:t>
      </w:r>
    </w:p>
    <w:p>
      <w:pPr>
        <w:spacing w:after="140"/>
      </w:pPr>
      <w:r>
        <w:rPr>
          <w:sz w:val="21"/>
          <w:szCs w:val="21"/>
        </w:rPr>
        <w:t xml:space="preserve">I sorted the cleaned training rows by date and used a time-based 80/20 cut. The cutoff date is 2025-08-31. Rows on or before that date are the fit set (38,477 loads, January–August). Rows after that date are the hold-out check (9,523 loads, September–October).</w:t>
      </w:r>
    </w:p>
    <w:p>
      <w:pPr>
        <w:spacing w:after="140"/>
      </w:pPr>
      <w:r>
        <w:rPr>
          <w:sz w:val="21"/>
          <w:szCs w:val="21"/>
        </w:rPr>
        <w:t xml:space="preserve">A random mix would put later-season loads into training and leak information that would not be available when scoring November and December. The time split matches how the model is used in production.</w:t>
      </w:r>
    </w:p>
    <w:p>
      <w:pPr>
        <w:pStyle w:val="Heading1"/>
        <w:spacing w:after="120" w:before="240"/>
      </w:pPr>
      <w:r>
        <w:rPr>
          <w:b/>
          <w:bCs/>
          <w:color w:val="064A56"/>
          <w:sz w:val="27"/>
          <w:szCs w:val="27"/>
        </w:rPr>
        <w:t xml:space="preserve">How the hold-out set was scored</w:t>
      </w:r>
    </w:p>
    <w:p>
      <w:pPr>
        <w:spacing w:after="140"/>
      </w:pPr>
      <w:r>
        <w:rPr>
          <w:sz w:val="21"/>
          <w:szCs w:val="21"/>
        </w:rPr>
        <w:t xml:space="preserve">I fit linear regression only on the earlier slice, then predicted posted_rate on the later slice. Error metrics on that later period: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MAE: $147.69 (typical dollar miss)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RMSE: $640.01 (larger because a few long-haul loads have very high rates)</w:t>
      </w:r>
    </w:p>
    <w:p>
      <w:pPr>
        <w:spacing w:after="140"/>
      </w:pPr>
      <w:r>
        <w:rPr>
          <w:sz w:val="21"/>
          <w:szCs w:val="21"/>
        </w:rPr>
        <w:t xml:space="preserve">After that check, I refit on all 48,000 cleaned training rows and used that final model for validation_predictions.csv and the December chart. The MAE/RMSE above are from the time hold-out, not from the final submission file.</w:t>
      </w:r>
    </w:p>
    <w:p>
      <w:pPr>
        <w:spacing w:after="140"/>
      </w:pPr>
      <w:r>
        <w:rPr>
          <w:sz w:val="21"/>
          <w:szCs w:val="21"/>
        </w:rPr>
        <w:t xml:space="preserve">The line is easy to read: about $1.85 per mile, plus equipment (Reefer higher than Dry Van) and a small weekday term. Distance is the main signal (correlation with posted_rate about 0.91).</w:t>
      </w:r>
    </w:p>
    <w:p>
      <w:pPr>
        <w:pStyle w:val="Heading1"/>
        <w:spacing w:after="120" w:before="240"/>
      </w:pPr>
      <w:r>
        <w:rPr>
          <w:b/>
          <w:bCs/>
          <w:color w:val="064A56"/>
          <w:sz w:val="27"/>
          <w:szCs w:val="27"/>
        </w:rPr>
        <w:t xml:space="preserve">December 2025 predicted load rate</w:t>
      </w:r>
    </w:p>
    <w:p>
      <w:pPr>
        <w:spacing w:after="140"/>
      </w:pPr>
      <w:r>
        <w:rPr>
          <w:sz w:val="21"/>
          <w:szCs w:val="21"/>
        </w:rPr>
        <w:t xml:space="preserve">This chart is produced by the provided score.py after it validates both output files. The lane is fixed: Lexington to Fort Wayne, 360 miles, Dry Van, 32,000 lb. Only the date changes.</w:t>
      </w:r>
    </w:p>
    <w:p>
      <w:pPr>
        <w:spacing w:after="100" w:before="100"/>
        <w:jc w:val="center"/>
      </w:pPr>
      <w:r>
        <w:drawing>
          <wp:inline distT="0" distB="0" distL="0" distR="0">
            <wp:extent cx="5905500" cy="1924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55A60"/>
          <w:sz w:val="18"/>
          <w:szCs w:val="18"/>
        </w:rPr>
        <w:t xml:space="preserve">Figure: Candidate December 2025 predicted load rate (score.py).</w:t>
      </w:r>
    </w:p>
    <w:p>
      <w:pPr>
        <w:spacing w:after="140"/>
      </w:pPr>
      <w:r>
        <w:rPr>
          <w:sz w:val="21"/>
          <w:szCs w:val="21"/>
        </w:rPr>
        <w:t xml:space="preserve">The weekly up-and-down pattern is the weekday feature. Monday rates are a few dollars higher than Sunday. Distance, equipment, and weight do not change on this chart.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811a56a321612b3ae35e20ee6b8cce4341aae4a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2026-08-25T12:10:47.376Z</dcterms:created>
  <dcterms:modified xsi:type="dcterms:W3CDTF">2026-08-25T12:10:47.389Z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