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Default Extension="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pPr>
      <w:r>
        <w:t xml:space="preserve">Time Crystals: From a No-Go Theorem to Driven Phases of Matter</w:t>
      </w:r>
    </w:p>
    <w:p>
      <w:pPr>
        <w:pStyle w:val="AuthorNames"/>
      </w:pPr>
      <w:r>
        <w:t xml:space="preserve">Soumyabroto Majumder</w:t>
      </w:r>
      <w:r>
        <w:rPr>
          <w:vertAlign w:val="superscript"/>
        </w:rPr>
        <w:t xml:space="preserve">1</w:t>
      </w:r>
      <w:r>
        <w:t xml:space="preserve">, Rahul Chandra</w:t>
      </w:r>
      <w:r>
        <w:rPr>
          <w:vertAlign w:val="superscript"/>
        </w:rPr>
        <w:t xml:space="preserve">2</w:t>
      </w:r>
      <w:r>
        <w:t xml:space="preserve">, Analabha Roy</w:t>
      </w:r>
      <w:r>
        <w:rPr>
          <w:vertAlign w:val="superscript"/>
        </w:rPr>
        <w:t xml:space="preserve">1</w:t>
      </w:r>
      <w:r>
        <w:t xml:space="preserve">, and Mahbub Rahaman</w:t>
      </w:r>
      <w:r>
        <w:rPr>
          <w:vertAlign w:val="superscript"/>
        </w:rPr>
        <w:t xml:space="preserve">3,*</w:t>
      </w:r>
    </w:p>
    <w:p>
      <w:pPr>
        <w:pStyle w:val="AuthorAffil"/>
      </w:pPr>
      <w:r>
        <w:rPr>
          <w:vertAlign w:val="superscript"/>
        </w:rPr>
        <w:t xml:space="preserve">1</w:t>
      </w:r>
      <w:r>
        <w:t xml:space="preserve">Department of Physics, The University of Burdwan, Burdwan 713104, India</w:t>
      </w:r>
    </w:p>
    <w:p>
      <w:pPr>
        <w:pStyle w:val="AuthorAffil"/>
      </w:pPr>
      <w:r>
        <w:rPr>
          <w:vertAlign w:val="superscript"/>
        </w:rPr>
        <w:t xml:space="preserve">2</w:t>
      </w:r>
      <w:r>
        <w:t xml:space="preserve">Sankara Nethralaya Elite School of Optometry, DJ/16, Action Area 1D, New Town, Rajarhat, Kolkata 700156, India</w:t>
      </w:r>
    </w:p>
    <w:p>
      <w:pPr>
        <w:pStyle w:val="AuthorAffil"/>
      </w:pPr>
      <w:r>
        <w:rPr>
          <w:vertAlign w:val="superscript"/>
        </w:rPr>
        <w:t xml:space="preserve">3</w:t>
      </w:r>
      <w:r>
        <w:t xml:space="preserve">Harish Chandra Research Institute, A CI of Homi Bhabha National Institute, Chhatnag Road, Jhunsi, Prayagraj, Uttar Pradesh 211019, India</w:t>
      </w:r>
    </w:p>
    <w:p>
      <w:pPr>
        <w:pStyle w:val="AuthorAffil"/>
      </w:pPr>
      <w:r>
        <w:rPr>
          <w:vertAlign w:val="superscript"/>
        </w:rPr>
        <w:t xml:space="preserve">*</w:t>
      </w:r>
      <w:r>
        <w:t xml:space="preserve">Contact author: mahbub.phys@gmail.com</w:t>
      </w:r>
    </w:p>
    <w:p>
      <w:pPr>
        <w:pStyle w:val="AbstractHead"/>
      </w:pPr>
      <w:r>
        <w:t xml:space="preserve">Abstract</w:t>
      </w:r>
    </w:p>
    <w:p>
      <w:pPr>
        <w:pStyle w:val="AbstractText"/>
      </w:pPr>
      <w:r>
        <w:t xml:space="preserve">Spontaneous symmetry breaking is fundamental to the emergence of spatial order in condensed matter and occurs when a ground or thermal state possesses less symmetry than its governing Hamiltonian. Wilczek proposed an analogous breaking of time translation symmetry in which a quantum system in its lowest energy state would exhibit persistent periodic motion. Although this equilibrium proposal was subsequently challenged, the concept of time crystalline order was reformulated in nonequilibrium systems. In periodically driven systems, continuous time translation symmetry is reduced to a discrete symmetry, whose spontaneous breaking can give rise to a</w:t>
      </w:r>
      <w:r>
        <w:t xml:space="preserve"> </w:t>
      </w:r>
      <w:r>
        <w:rPr>
          <w:iCs/>
          <w:i/>
        </w:rPr>
        <w:t xml:space="preserve">discrete time crystal</w:t>
      </w:r>
      <w:r>
        <w:t xml:space="preserve"> </w:t>
      </w:r>
      <w:r>
        <w:t xml:space="preserve">(DTC) characterized by robust oscillations with a period equal to an integer multiple of the driving period. Because generic driven systems absorb energy and eventually heat toward infinite temperature, the emergence of such order requires mechanisms, including many-body localization, prethermalization, or integrability that suppress heating. We review the Floquet algebraic origin of long lived oscillations and examine their dependence on driving protocols, initial states, and interactions, while highlighting theoretical and experimental advances and the roles of symmetry, dimensionality, and dissipation in stabilizing DTCs.</w:t>
      </w:r>
    </w:p>
    <w:p>
      <w:pPr>
        <w:pStyle w:val="Keywords"/>
        <w:sectPr>
          <w:footerReference w:type="default" r:id="rIdFtr1"/>
          <w:pgSz w:w="11906" w:h="16838"/>
          <w:pgMar w:top="1440" w:right="1440" w:bottom="1440" w:left="1440" w:header="720" w:footer="720" w:gutter="0"/>
          <w:cols w:space="720" w:num="1"/>
        </w:sectPr>
      </w:pPr>
      <w:r>
        <w:rPr>
          <w:bCs/>
          <w:b/>
        </w:rPr>
        <w:t xml:space="preserve">Keywords:</w:t>
      </w:r>
      <w:r>
        <w:t xml:space="preserve"> </w:t>
      </w:r>
      <w:r>
        <w:t xml:space="preserve">time crystals; Floquet systems; integrability; dynamical symmetries</w:t>
      </w:r>
    </w:p>
    <w:bookmarkStart w:id="20" w:name="i.-introduction"/>
    <w:p>
      <w:pPr>
        <w:pStyle w:val="Heading1"/>
      </w:pPr>
      <w:r>
        <w:t xml:space="preserve">I. INTRODUCTION</w:t>
      </w:r>
    </w:p>
    <w:p>
      <w:pPr>
        <w:pStyle w:val="FirstParagraph"/>
      </w:pPr>
      <w:r>
        <w:t xml:space="preserve">Symmetry is a central organizing principle of nature. In condensed matter, the spontaneous breaking of symmetry underlies the emergence of order. A ferromagnet breaks spin rotation symmetry, while a crystal breaks continuous spatial translations down to a discrete lattice subgroup. In both cases, the ground state or thermal state exhibits less symmetry than the Hamiltonian from which it arises. The search for new phases of matter, and for the symmetries they break, is central to the development of condensed matter physics and to technological progress. Since relativity places space and time on an equal footing, it is natural to ask whether time-translation symmetry can be broken in the same way.</w:t>
      </w:r>
    </w:p>
    <w:p>
      <w:pPr>
        <w:pStyle w:val="BodyText"/>
      </w:pPr>
      <w:r>
        <w:t xml:space="preserve">In 2012, Wilczek and Shapere posed this question for quantum (Wilczek, 2012) and classical (Shapere &amp; Wilczek, 2012) systems, respectively, and introduced the term</w:t>
      </w:r>
      <w:r>
        <w:t xml:space="preserve"> </w:t>
      </w:r>
      <w:r>
        <w:rPr>
          <w:iCs/>
          <w:i/>
        </w:rPr>
        <w:t xml:space="preserve">time crystal</w:t>
      </w:r>
      <w:r>
        <w:t xml:space="preserve">. Their proposal envisioned a quantum system in its lowest energy state undergoing perpetual periodic motion, such as a rotating density modulation of interacting charged bosons on a ring threaded by magnetic flux. Although this motion would not permit energy extraction, it appeared inconsistent with the conventional understanding that equilibrium states are stationary. The proposal was soon challenged: Bruno (2013) showed that the persistent motion envisaged in Wilczek’s ring model cannot occur in a ground state, while Watanabe and Oshikawa (2015) established a general no-go theorem. Since every eigenstate and Gibbs state is stationary at the level of one-point observables, time-translation symmetry breaking (TTSB), like conventional spontaneous symmetry breaking, must be identified through correlation functions. Watanabe and Oshikawa therefore characterized TTSB using the correlator of an extensive observable</w:t>
      </w:r>
      <w:r>
        <w:t xml:space="preserve"> </w:t>
      </w:r>
      <m:oMath>
        <m:acc>
          <m:accPr>
            <m:chr m:val="̂"/>
          </m:accPr>
          <m:e>
            <m:r>
              <m:t>O</m:t>
            </m:r>
          </m:e>
        </m:acc>
        <m:r>
          <m:rPr>
            <m:sty m:val="p"/>
          </m:rPr>
          <m:t>=</m:t>
        </m:r>
        <m:r>
          <m:rPr>
            <m:sty m:val="p"/>
          </m:rPr>
          <m:t>∫</m:t>
        </m:r>
        <m:sSup>
          <m:e>
            <m:r>
              <m:t>d</m:t>
            </m:r>
          </m:e>
          <m:sup>
            <m:r>
              <m:t>d</m:t>
            </m:r>
          </m:sup>
        </m:sSup>
        <m:r>
          <m:t>x</m:t>
        </m:r>
        <m:r>
          <m:t> </m:t>
        </m:r>
        <m:acc>
          <m:accPr>
            <m:chr m:val="̂"/>
          </m:accPr>
          <m:e>
            <m:r>
              <m:t>O</m:t>
            </m:r>
          </m:e>
        </m:acc>
        <m:d>
          <m:dPr>
            <m:begChr m:val="("/>
            <m:endChr m:val=")"/>
            <m:grow/>
          </m:dPr>
          <m:e>
            <m:r>
              <m:t>𝐱</m:t>
            </m:r>
          </m:e>
        </m:d>
      </m:oMath>
      <w:r>
        <w:t xml:space="preserve">,</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3533"/>
        <w:gridCol w:w="620"/>
      </w:tblGrid>
      <w:tr>
        <w:trPr>
          <w:cantSplit/>
        </w:trPr>
        <w:tc>
          <w:tcPr>
            <w:tcW w:w="3533" w:type="dxa"/>
            <w:vAlign w:val="center"/>
          </w:tcPr>
          <w:p>
            <w:pPr>
              <w:spacing w:before="60" w:after="60" w:line="300" w:lineRule="auto"/>
              <w:jc w:val="center"/>
            </w:pPr>
            <m:oMathPara>
              <m:oMathParaPr>
                <m:jc m:val="center"/>
              </m:oMathParaPr>
              <m:oMath>
                <m:r>
                  <m:t>f</m:t>
                </m:r>
                <m:d>
                  <m:dPr>
                    <m:begChr m:val="("/>
                    <m:endChr m:val=")"/>
                    <m:grow/>
                  </m:dPr>
                  <m:e>
                    <m:r>
                      <m:t>t</m:t>
                    </m:r>
                  </m:e>
                </m:d>
                <m:r>
                  <m:rPr>
                    <m:sty m:val="p"/>
                  </m:rPr>
                  <m:t>=</m:t>
                </m:r>
                <m:func>
                  <m:fName>
                    <m:limLow>
                      <m:e>
                        <m:r>
                          <m:rPr>
                            <m:sty m:val="p"/>
                          </m:rPr>
                          <m:t>lim</m:t>
                        </m:r>
                      </m:e>
                      <m:lim>
                        <m:r>
                          <m:t>V</m:t>
                        </m:r>
                        <m:r>
                          <m:rPr>
                            <m:sty m:val="p"/>
                          </m:rPr>
                          <m:t>→</m:t>
                        </m:r>
                        <m:r>
                          <m:rPr>
                            <m:sty m:val="p"/>
                          </m:rPr>
                          <m:t>∞</m:t>
                        </m:r>
                      </m:lim>
                    </m:limLow>
                  </m:fName>
                  <m:e>
                    <m:f>
                      <m:fPr>
                        <m:type m:val="bar"/>
                      </m:fPr>
                      <m:num>
                        <m:r>
                          <m:t>1</m:t>
                        </m:r>
                      </m:num>
                      <m:den>
                        <m:sSup>
                          <m:e>
                            <m:r>
                              <m:t>V</m:t>
                            </m:r>
                          </m:e>
                          <m:sup>
                            <m:r>
                              <m:t>2</m:t>
                            </m:r>
                          </m:sup>
                        </m:sSup>
                      </m:den>
                    </m:f>
                    <m:d>
                      <m:dPr>
                        <m:begChr m:val="⟨"/>
                        <m:endChr m:val="⟩"/>
                        <m:grow/>
                      </m:dPr>
                      <m:e>
                        <m:sSup>
                          <m:e>
                            <m:r>
                              <m:t>e</m:t>
                            </m:r>
                          </m:e>
                          <m:sup>
                            <m:r>
                              <m:t>i</m:t>
                            </m:r>
                            <m:acc>
                              <m:accPr>
                                <m:chr m:val="̂"/>
                              </m:accPr>
                              <m:e>
                                <m:r>
                                  <m:t>H</m:t>
                                </m:r>
                              </m:e>
                            </m:acc>
                            <m:r>
                              <m:t>t</m:t>
                            </m:r>
                          </m:sup>
                        </m:sSup>
                        <m:acc>
                          <m:accPr>
                            <m:chr m:val="̂"/>
                          </m:accPr>
                          <m:e>
                            <m:r>
                              <m:t>O</m:t>
                            </m:r>
                          </m:e>
                        </m:acc>
                        <m:r>
                          <m:t> </m:t>
                        </m:r>
                        <m:sSup>
                          <m:e>
                            <m:r>
                              <m:t>e</m:t>
                            </m:r>
                          </m:e>
                          <m:sup>
                            <m:r>
                              <m:rPr>
                                <m:sty m:val="p"/>
                              </m:rPr>
                              <m:t>−</m:t>
                            </m:r>
                            <m:r>
                              <m:t>i</m:t>
                            </m:r>
                            <m:acc>
                              <m:accPr>
                                <m:chr m:val="̂"/>
                              </m:accPr>
                              <m:e>
                                <m:r>
                                  <m:t>H</m:t>
                                </m:r>
                              </m:e>
                            </m:acc>
                            <m:r>
                              <m:t>t</m:t>
                            </m:r>
                          </m:sup>
                        </m:sSup>
                        <m:acc>
                          <m:accPr>
                            <m:chr m:val="̂"/>
                          </m:accPr>
                          <m:e>
                            <m:r>
                              <m:t>O</m:t>
                            </m:r>
                          </m:e>
                        </m:acc>
                      </m:e>
                    </m:d>
                  </m:e>
                </m:func>
                <m:r>
                  <m:rPr>
                    <m:sty m:val="p"/>
                  </m:rPr>
                  <m:t>,</m:t>
                </m:r>
              </m:oMath>
            </m:oMathPara>
          </w:p>
        </w:tc>
        <w:tc>
          <w:tcPr>
            <w:tcW w:w="620" w:type="dxa"/>
            <w:vAlign w:val="center"/>
          </w:tcPr>
          <w:p>
            <w:pPr>
              <w:spacing w:before="40" w:after="40" w:line="300" w:lineRule="auto"/>
              <w:jc w:val="right"/>
            </w:pPr>
            <w:r>
              <w:t>(1)</w:t>
            </w:r>
          </w:p>
        </w:tc>
      </w:tr>
    </w:tbl>
    <w:p>
      <w:pPr>
        <w:pStyle w:val="FirstParagraph"/>
      </w:pPr>
      <w:r>
        <w:t xml:space="preserve">and showed that</w:t>
      </w:r>
      <w:r>
        <w:t xml:space="preserve"> </w:t>
      </w:r>
      <m:oMath>
        <m:r>
          <m:t>f</m:t>
        </m:r>
        <m:d>
          <m:dPr>
            <m:begChr m:val="("/>
            <m:endChr m:val=")"/>
            <m:grow/>
          </m:dPr>
          <m:e>
            <m:r>
              <m:t>t</m:t>
            </m:r>
          </m:e>
        </m:d>
      </m:oMath>
      <w:r>
        <w:t xml:space="preserve"> </w:t>
      </w:r>
      <w:r>
        <w:t xml:space="preserve">is time independent in the ground state and in Gibbs states of local Hamiltonians. The Gibbs state result was later established rigorously (Watanabe et al., 2020). Time crystals are therefore forbidden in equilibrium.</w:t>
      </w:r>
    </w:p>
    <w:p>
      <w:pPr>
        <w:pStyle w:val="BodyText"/>
      </w:pPr>
      <w:r>
        <w:t xml:space="preserve">The idea of TTSB was revived by considering quantum systems driven far from equilibrium. In a periodically driven many-body quantum system, the Hamiltonian satisfies</w:t>
      </w:r>
      <w:r>
        <w:t xml:space="preserve"> </w:t>
      </w:r>
      <m:oMath>
        <m:acc>
          <m:accPr>
            <m:chr m:val="̂"/>
          </m:accPr>
          <m:e>
            <m:r>
              <m:t>H</m:t>
            </m:r>
          </m:e>
        </m:acc>
        <m:d>
          <m:dPr>
            <m:begChr m:val="("/>
            <m:endChr m:val=")"/>
            <m:grow/>
          </m:dPr>
          <m:e>
            <m:r>
              <m:t>t</m:t>
            </m:r>
            <m:r>
              <m:rPr>
                <m:sty m:val="p"/>
              </m:rPr>
              <m:t>+</m:t>
            </m:r>
            <m:r>
              <m:t>T</m:t>
            </m:r>
          </m:e>
        </m:d>
        <m:r>
          <m:rPr>
            <m:sty m:val="p"/>
          </m:rPr>
          <m:t>=</m:t>
        </m:r>
        <m:acc>
          <m:accPr>
            <m:chr m:val="̂"/>
          </m:accPr>
          <m:e>
            <m:r>
              <m:t>H</m:t>
            </m:r>
          </m:e>
        </m:acc>
        <m:d>
          <m:dPr>
            <m:begChr m:val="("/>
            <m:endChr m:val=")"/>
            <m:grow/>
          </m:dPr>
          <m:e>
            <m:r>
              <m:t>t</m:t>
            </m:r>
          </m:e>
        </m:d>
      </m:oMath>
      <w:r>
        <w:t xml:space="preserve">, and only the</w:t>
      </w:r>
      <w:r>
        <w:t xml:space="preserve"> </w:t>
      </w:r>
      <w:r>
        <w:rPr>
          <w:iCs/>
          <w:i/>
        </w:rPr>
        <w:t xml:space="preserve">discrete</w:t>
      </w:r>
      <w:r>
        <w:t xml:space="preserve"> </w:t>
      </w:r>
      <w:r>
        <w:t xml:space="preserve">time-translation symmetry</w:t>
      </w:r>
      <w:r>
        <w:t xml:space="preserve"> </w:t>
      </w:r>
      <m:oMath>
        <m:r>
          <m:t>t</m:t>
        </m:r>
        <m:r>
          <m:rPr>
            <m:sty m:val="p"/>
          </m:rPr>
          <m:t>→</m:t>
        </m:r>
        <m:r>
          <m:t>t</m:t>
        </m:r>
        <m:r>
          <m:rPr>
            <m:sty m:val="p"/>
          </m:rPr>
          <m:t>+</m:t>
        </m:r>
        <m:r>
          <m:t>T</m:t>
        </m:r>
      </m:oMath>
      <w:r>
        <w:t xml:space="preserve"> </w:t>
      </w:r>
      <w:r>
        <w:t xml:space="preserve">remains. If the state and the corresponding observables respond with a period</w:t>
      </w:r>
      <w:r>
        <w:t xml:space="preserve"> </w:t>
      </w:r>
      <m:oMath>
        <m:r>
          <m:t>m</m:t>
        </m:r>
        <m:r>
          <m:t>T</m:t>
        </m:r>
      </m:oMath>
      <w:r>
        <w:t xml:space="preserve">, where</w:t>
      </w:r>
      <w:r>
        <w:t xml:space="preserve"> </w:t>
      </w:r>
      <m:oMath>
        <m:r>
          <m:t>m</m:t>
        </m:r>
        <m:r>
          <m:rPr>
            <m:sty m:val="p"/>
          </m:rPr>
          <m:t>&gt;</m:t>
        </m:r>
        <m:r>
          <m:t>1</m:t>
        </m:r>
      </m:oMath>
      <w:r>
        <w:t xml:space="preserve"> </w:t>
      </w:r>
      <w:r>
        <w:t xml:space="preserve">is an integer, this discrete symmetry is spontaneously broken. This is the essence of a</w:t>
      </w:r>
      <w:r>
        <w:t xml:space="preserve"> </w:t>
      </w:r>
      <w:r>
        <w:rPr>
          <w:iCs/>
          <w:i/>
        </w:rPr>
        <w:t xml:space="preserve">discrete time crystal</w:t>
      </w:r>
      <w:r>
        <w:t xml:space="preserve"> </w:t>
      </w:r>
      <w:r>
        <w:t xml:space="preserve">(DTC) (Else et al., 2016; Khemani et al., 2016; Sacha, 2015; von Keyserlingk et al., 2016; Yao et al., 2017). The response must also be robust against perturbations, accompanied by spatial long-range order, and persist in the thermodynamic limit. The main obstacle is that generic interacting driven systems absorb energy and heat to a featureless infinite-temperature state. The first proposals avoided this through disorder-induced many-body localization, while prethermalization at high driving frequency and long-range interactions were later identified as disorder-free routes (Else et al., 2017; Pizzi et al., 2021; Russomanno et al., 2017). Soon after these proposals, signatures of period doubling were reported in trapped ions (Zhang et al., 2017) and in dense ensembles of nitrogen-vacancy (NV) centers (Choi et al., 2017). These were followed by observations in NMR systems (Pal et al., 2018; Rovny et al., 2018), nuclear-spin registers (Randall et al., 2021), prethermal trapped-ion chains (Kyprianidis et al., 2021), and superconducting quantum processors (Mi et al., 2022). Comprehensive reviews of the field are available (Else et al., 2020; Khemani et al., 2019; Sacha &amp; Zakrzewski, 2018; Zaletel et al., 2023), together with a monograph (Sacha, 2020).</w:t>
      </w:r>
    </w:p>
    <w:p>
      <w:pPr>
        <w:pStyle w:val="BodyText"/>
      </w:pPr>
      <w:r>
        <w:t xml:space="preserve">In this short review, we focus on the Floquet algebraic origin of long-lived oscillations and their dependence on driving protocols, initial states, and interactions. We highlight theoretical and experimental advances and the roles of symmetry, dimensionality, and dissipation in stabilizing DTCs. We restrict our attention to disorder-free spin-1/2 systems, both interacting and integrable, where many body localization is unavailable and robustness must come from other mechanisms. We also discuss the role of integrability, which suppresses heating and can sustain persistent oscillations, and ask when these oscillations survive integrability breaking perturbations and so constitute genuine time crystalline order. Section II introduces the Floquet formalism, the criteria for time crystalline order, and the main stabilization mechanisms. Section III examines integrability and the dynamical symmetries that underlie persistent oscillations. Section IV reviews experimental realizations, and Sec. V discusses open problems.</w:t>
      </w:r>
    </w:p>
    <w:bookmarkEnd w:id="20"/>
    <w:bookmarkStart w:id="29" w:name="X4b4ecd82315b782070c7fa8c793a403ee0a555e"/>
    <w:p>
      <w:pPr>
        <w:pStyle w:val="Heading1"/>
      </w:pPr>
      <w:r>
        <w:t xml:space="preserve">II. DISCRETE TIME CRYSTALS IN FLOQUET SYSTEMS</w:t>
      </w:r>
    </w:p>
    <w:bookmarkStart w:id="24" w:name="Xa15cb9661a55cabb14db2bba072f7fd8279a00e"/>
    <w:p>
      <w:pPr>
        <w:pStyle w:val="Heading2"/>
      </w:pPr>
      <w:r>
        <w:t xml:space="preserve">A. Floquet formalism and criteria for time-crystalline order</w:t>
      </w:r>
    </w:p>
    <w:p>
      <w:pPr>
        <w:pStyle w:val="FirstParagraph"/>
      </w:pPr>
      <w:r>
        <w:t xml:space="preserve">With the no-go theorem, the search for time crystals shifted to nonequilibrium systems. The first proposals were for periodically driven (Floquet) systems, which retain only a discrete time translation symmetry. To break this symmetry, the system must respond with a period</w:t>
      </w:r>
      <w:r>
        <w:t xml:space="preserve"> </w:t>
      </w:r>
      <m:oMath>
        <m:r>
          <m:t>m</m:t>
        </m:r>
        <m:r>
          <m:t>T</m:t>
        </m:r>
      </m:oMath>
      <w:r>
        <w:t xml:space="preserve"> </w:t>
      </w:r>
      <w:r>
        <w:t xml:space="preserve">that is an integer multiple</w:t>
      </w:r>
      <w:r>
        <w:t xml:space="preserve"> </w:t>
      </w:r>
      <m:oMath>
        <m:r>
          <m:t>m</m:t>
        </m:r>
        <m:r>
          <m:rPr>
            <m:sty m:val="p"/>
          </m:rPr>
          <m:t>&gt;</m:t>
        </m:r>
        <m:r>
          <m:t>1</m:t>
        </m:r>
      </m:oMath>
      <w:r>
        <w:t xml:space="preserve"> </w:t>
      </w:r>
      <w:r>
        <w:t xml:space="preserve">of the drive period</w:t>
      </w:r>
      <w:r>
        <w:t xml:space="preserve"> </w:t>
      </w:r>
      <m:oMath>
        <m:r>
          <m:t>T</m:t>
        </m:r>
      </m:oMath>
      <w:r>
        <w:t xml:space="preserve">. To understand how such a response can arise, we first review the Floquet formalism.</w:t>
      </w:r>
    </w:p>
    <w:p>
      <w:pPr>
        <w:pStyle w:val="BodyText"/>
      </w:pPr>
      <w:r>
        <w:t xml:space="preserve">For a Hamiltonian with period</w:t>
      </w:r>
      <w:r>
        <w:t xml:space="preserve"> </w:t>
      </w:r>
      <m:oMath>
        <m:r>
          <m:t>T</m:t>
        </m:r>
        <m:r>
          <m:rPr>
            <m:sty m:val="p"/>
          </m:rPr>
          <m:t>=</m:t>
        </m:r>
        <m:r>
          <m:t>2</m:t>
        </m:r>
        <m:r>
          <m:t>π</m:t>
        </m:r>
        <m:r>
          <m:rPr>
            <m:sty m:val="p"/>
          </m:rPr>
          <m:t>/</m:t>
        </m:r>
        <m:sSub>
          <m:e>
            <m:r>
              <m:t>ω</m:t>
            </m:r>
          </m:e>
          <m:sub>
            <m:r>
              <m:t>D</m:t>
            </m:r>
          </m:sub>
        </m:sSub>
      </m:oMath>
      <w:r>
        <w:t xml:space="preserve">,</w:t>
      </w:r>
      <w:r>
        <w:t xml:space="preserve"> </w:t>
      </w:r>
      <m:oMath>
        <m:acc>
          <m:accPr>
            <m:chr m:val="̂"/>
          </m:accPr>
          <m:e>
            <m:r>
              <m:t>H</m:t>
            </m:r>
          </m:e>
        </m:acc>
        <m:d>
          <m:dPr>
            <m:begChr m:val="("/>
            <m:endChr m:val=")"/>
            <m:grow/>
          </m:dPr>
          <m:e>
            <m:r>
              <m:t>t</m:t>
            </m:r>
            <m:r>
              <m:rPr>
                <m:sty m:val="p"/>
              </m:rPr>
              <m:t>+</m:t>
            </m:r>
            <m:r>
              <m:t>T</m:t>
            </m:r>
          </m:e>
        </m:d>
        <m:r>
          <m:rPr>
            <m:sty m:val="p"/>
          </m:rPr>
          <m:t>=</m:t>
        </m:r>
        <m:acc>
          <m:accPr>
            <m:chr m:val="̂"/>
          </m:accPr>
          <m:e>
            <m:r>
              <m:t>H</m:t>
            </m:r>
          </m:e>
        </m:acc>
        <m:d>
          <m:dPr>
            <m:begChr m:val="("/>
            <m:endChr m:val=")"/>
            <m:grow/>
          </m:dPr>
          <m:e>
            <m:r>
              <m:t>t</m:t>
            </m:r>
          </m:e>
        </m:d>
      </m:oMath>
      <w:r>
        <w:t xml:space="preserve">, the wavefunction</w:t>
      </w:r>
      <w:r>
        <w:t xml:space="preserve"> </w:t>
      </w:r>
      <m:oMath>
        <m:r>
          <m:rPr>
            <m:nor/>
          </m:rPr>
          <m:t>|</m:t>
        </m:r>
        <m:r>
          <m:t>ψ</m:t>
        </m:r>
        <m:d>
          <m:dPr>
            <m:begChr m:val="("/>
            <m:endChr m:val=")"/>
            <m:grow/>
          </m:dPr>
          <m:e>
            <m:r>
              <m:t>t</m:t>
            </m:r>
          </m:e>
        </m:d>
        <m:r>
          <m:rPr>
            <m:sty m:val="p"/>
          </m:rPr>
          <m:t>⟩</m:t>
        </m:r>
      </m:oMath>
      <w:r>
        <w:t xml:space="preserve"> </w:t>
      </w:r>
      <w:r>
        <w:t xml:space="preserve">obeys the Schrödinger equation</w:t>
      </w:r>
      <w:r>
        <w:t xml:space="preserve"> </w:t>
      </w:r>
      <m:oMath>
        <m:r>
          <m:t>i</m:t>
        </m:r>
        <m:sSub>
          <m:e>
            <m:r>
              <m:rPr>
                <m:sty m:val="p"/>
              </m:rPr>
              <m:t>∂</m:t>
            </m:r>
          </m:e>
          <m:sub>
            <m:r>
              <m:t>t</m:t>
            </m:r>
          </m:sub>
        </m:sSub>
        <m:r>
          <m:rPr>
            <m:nor/>
          </m:rPr>
          <m:t>|</m:t>
        </m:r>
        <m:r>
          <m:t>ψ</m:t>
        </m:r>
        <m:d>
          <m:dPr>
            <m:begChr m:val="("/>
            <m:endChr m:val=")"/>
            <m:grow/>
          </m:dPr>
          <m:e>
            <m:r>
              <m:t>t</m:t>
            </m:r>
          </m:e>
        </m:d>
        <m:r>
          <m:rPr>
            <m:sty m:val="p"/>
          </m:rPr>
          <m:t>⟩</m:t>
        </m:r>
        <m:r>
          <m:rPr>
            <m:sty m:val="p"/>
          </m:rPr>
          <m:t>=</m:t>
        </m:r>
        <m:acc>
          <m:accPr>
            <m:chr m:val="̂"/>
          </m:accPr>
          <m:e>
            <m:r>
              <m:t>H</m:t>
            </m:r>
          </m:e>
        </m:acc>
        <m:d>
          <m:dPr>
            <m:begChr m:val="("/>
            <m:endChr m:val=")"/>
            <m:grow/>
          </m:dPr>
          <m:e>
            <m:r>
              <m:t>t</m:t>
            </m:r>
          </m:e>
        </m:d>
        <m:r>
          <m:rPr>
            <m:nor/>
          </m:rPr>
          <m:t>|</m:t>
        </m:r>
        <m:r>
          <m:t>ψ</m:t>
        </m:r>
        <m:d>
          <m:dPr>
            <m:begChr m:val="("/>
            <m:endChr m:val=")"/>
            <m:grow/>
          </m:dPr>
          <m:e>
            <m:r>
              <m:t>t</m:t>
            </m:r>
          </m:e>
        </m:d>
        <m:r>
          <m:rPr>
            <m:sty m:val="p"/>
          </m:rPr>
          <m:t>⟩</m:t>
        </m:r>
      </m:oMath>
      <w:r>
        <w:t xml:space="preserve"> </w:t>
      </w:r>
      <w:r>
        <w:t xml:space="preserve">(we set</w:t>
      </w:r>
      <w:r>
        <w:t xml:space="preserve"> </w:t>
      </w:r>
      <m:oMath>
        <m:r>
          <m:rPr>
            <m:sty m:val="p"/>
          </m:rPr>
          <m:t>ℏ</m:t>
        </m:r>
        <m:r>
          <m:rPr>
            <m:sty m:val="p"/>
          </m:rPr>
          <m:t>=</m:t>
        </m:r>
        <m:r>
          <m:t>1</m:t>
        </m:r>
      </m:oMath>
      <w:r>
        <w:t xml:space="preserve">). The stroboscopic evolution, which determines the observables at times</w:t>
      </w:r>
      <w:r>
        <w:t xml:space="preserve"> </w:t>
      </w:r>
      <m:oMath>
        <m:r>
          <m:t>t</m:t>
        </m:r>
        <m:r>
          <m:rPr>
            <m:sty m:val="p"/>
          </m:rPr>
          <m:t>=</m:t>
        </m:r>
        <m:r>
          <m:t>n</m:t>
        </m:r>
        <m:r>
          <m:t>T</m:t>
        </m:r>
      </m:oMath>
      <w:r>
        <w:t xml:space="preserve">, is generated by the Floquet operator</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1075"/>
        <w:gridCol w:w="2458"/>
        <w:gridCol w:w="620"/>
      </w:tblGrid>
      <w:tr>
        <w:trPr>
          <w:cantSplit/>
        </w:trPr>
        <w:tc>
          <w:tcPr>
            <w:tcW w:w="1075" w:type="dxa"/>
            <w:vAlign w:val="center"/>
          </w:tcPr>
          <w:p>
            <w:pPr>
              <w:keepNext/>
              <w:spacing w:before="60" w:after="0" w:line="300" w:lineRule="auto"/>
              <w:jc w:val="right"/>
            </w:pPr>
            <m:oMathPara>
              <m:oMathParaPr>
                <m:jc m:val="right"/>
              </m:oMathParaPr>
              <m:oMath>
                <m:sSub>
                  <m:e>
                    <m:acc>
                      <m:accPr>
                        <m:chr m:val="̂"/>
                      </m:accPr>
                      <m:e>
                        <m:r>
                          <m:t>U</m:t>
                        </m:r>
                      </m:e>
                    </m:acc>
                  </m:e>
                  <m:sub>
                    <m:r>
                      <m:t>F</m:t>
                    </m:r>
                  </m:sub>
                </m:sSub>
              </m:oMath>
            </m:oMathPara>
          </w:p>
        </w:tc>
        <w:tc>
          <w:tcPr>
            <w:tcW w:w="2458" w:type="dxa"/>
            <w:vAlign w:val="center"/>
          </w:tcPr>
          <w:p>
            <w:pPr>
              <w:keepNext/>
              <w:spacing w:before="60" w:after="0" w:line="300" w:lineRule="auto"/>
              <w:jc w:val="left"/>
            </w:pPr>
            <m:oMathPara>
              <m:oMathParaPr>
                <m:jc m:val="left"/>
              </m:oMathParaPr>
              <m:oMath>
                <m:r>
                  <m:rPr>
                    <m:nor/>
                  </m:rPr>
                  <m:t>≡</m:t>
                </m:r>
                <m:acc>
                  <m:accPr>
                    <m:chr m:val="̂"/>
                  </m:accPr>
                  <m:e>
                    <m:r>
                      <m:t>U</m:t>
                    </m:r>
                  </m:e>
                </m:acc>
                <m:d>
                  <m:dPr>
                    <m:begChr m:val="("/>
                    <m:endChr m:val=")"/>
                    <m:grow/>
                  </m:dPr>
                  <m:e>
                    <m:r>
                      <m:t>T</m:t>
                    </m:r>
                    <m:r>
                      <m:rPr>
                        <m:sty m:val="p"/>
                      </m:rPr>
                      <m:t>,</m:t>
                    </m:r>
                    <m:r>
                      <m:t>0</m:t>
                    </m:r>
                  </m:e>
                </m:d>
              </m:oMath>
            </m:oMathPara>
          </w:p>
        </w:tc>
        <w:tc>
          <w:tcPr>
            <w:tcW w:w="620" w:type="dxa"/>
            <w:vMerge w:val="restart"/>
            <w:vAlign w:val="center"/>
          </w:tcPr>
          <w:p>
            <w:pPr>
              <w:keepNext/>
              <w:spacing w:before="40" w:after="40" w:line="300" w:lineRule="auto"/>
              <w:jc w:val="right"/>
            </w:pPr>
            <w:r>
              <w:t>(2)</w:t>
            </w:r>
          </w:p>
        </w:tc>
      </w:tr>
      <w:tr>
        <w:trPr>
          <w:cantSplit/>
        </w:trPr>
        <w:tc>
          <w:tcPr>
            <w:tcW w:w="1075" w:type="dxa"/>
            <w:vAlign w:val="center"/>
          </w:tcPr>
          <w:p>
            <w:pPr>
              <w:keepNext/>
              <w:spacing w:before="0" w:after="0" w:line="300" w:lineRule="auto"/>
              <w:jc w:val="right"/>
            </w:pPr>
          </w:p>
        </w:tc>
        <w:tc>
          <w:tcPr>
            <w:tcW w:w="2458" w:type="dxa"/>
            <w:vAlign w:val="center"/>
          </w:tcPr>
          <w:p>
            <w:pPr>
              <w:keepNext/>
              <w:spacing w:before="0" w:after="0" w:line="300" w:lineRule="auto"/>
              <w:jc w:val="left"/>
            </w:pPr>
            <m:oMathPara>
              <m:oMathParaPr>
                <m:jc m:val="left"/>
              </m:oMathParaPr>
              <m:oMath>
                <m:r>
                  <m:rPr>
                    <m:nor/>
                  </m:rPr>
                  <m:t>=</m:t>
                </m:r>
                <m:r>
                  <m:rPr>
                    <m:scr m:val="script"/>
                    <m:sty m:val="p"/>
                  </m:rPr>
                  <m:t>T</m:t>
                </m:r>
                <m:r>
                  <m:rPr>
                    <m:sty m:val="p"/>
                  </m:rPr>
                  <m:t>exp</m:t>
                </m:r>
                <m:d>
                  <m:dPr>
                    <m:begChr m:val="["/>
                    <m:endChr m:val="]"/>
                    <m:grow/>
                  </m:dPr>
                  <m:e>
                    <m:r>
                      <m:rPr>
                        <m:sty m:val="p"/>
                      </m:rPr>
                      <m:t>−</m:t>
                    </m:r>
                    <m:r>
                      <m:t>i</m:t>
                    </m:r>
                    <m:nary>
                      <m:naryPr>
                        <m:chr m:val="∫"/>
                        <m:limLoc m:val="subSup"/>
                        <m:subHide m:val="off"/>
                        <m:supHide m:val="off"/>
                      </m:naryPr>
                      <m:sub>
                        <m:r>
                          <m:t>0</m:t>
                        </m:r>
                      </m:sub>
                      <m:sup>
                        <m:r>
                          <m:t>T</m:t>
                        </m:r>
                      </m:sup>
                      <m:e>
                        <m:acc>
                          <m:accPr>
                            <m:chr m:val="̂"/>
                          </m:accPr>
                          <m:e>
                            <m:r>
                              <m:t>H</m:t>
                            </m:r>
                          </m:e>
                        </m:acc>
                      </m:e>
                    </m:nary>
                    <m:d>
                      <m:dPr>
                        <m:begChr m:val="("/>
                        <m:endChr m:val=")"/>
                        <m:grow/>
                      </m:dPr>
                      <m:e>
                        <m:r>
                          <m:t>t</m:t>
                        </m:r>
                      </m:e>
                    </m:d>
                    <m:r>
                      <m:t> </m:t>
                    </m:r>
                    <m:r>
                      <m:t>d</m:t>
                    </m:r>
                    <m:r>
                      <m:t>t</m:t>
                    </m:r>
                  </m:e>
                </m:d>
              </m:oMath>
            </m:oMathPara>
          </w:p>
        </w:tc>
        <w:tc>
          <w:tcPr>
            <w:tcW w:w="620" w:type="dxa"/>
            <w:vMerge/>
            <w:vAlign w:val="center"/>
          </w:tcPr>
          <w:p>
            <w:pPr>
              <w:keepNext/>
              <w:spacing w:before="40" w:after="40" w:line="300" w:lineRule="auto"/>
              <w:jc w:val="right"/>
            </w:pPr>
          </w:p>
        </w:tc>
      </w:tr>
      <w:tr>
        <w:trPr>
          <w:cantSplit/>
        </w:trPr>
        <w:tc>
          <w:tcPr>
            <w:tcW w:w="1075" w:type="dxa"/>
            <w:vAlign w:val="center"/>
          </w:tcPr>
          <w:p>
            <w:pPr>
              <w:keepNext/>
              <w:spacing w:before="0" w:after="0" w:line="300" w:lineRule="auto"/>
              <w:jc w:val="right"/>
            </w:pPr>
          </w:p>
        </w:tc>
        <w:tc>
          <w:tcPr>
            <w:tcW w:w="2458" w:type="dxa"/>
            <w:vAlign w:val="center"/>
          </w:tcPr>
          <w:p>
            <w:pPr>
              <w:keepNext/>
              <w:spacing w:before="0" w:after="0" w:line="300" w:lineRule="auto"/>
              <w:jc w:val="left"/>
            </w:pPr>
            <m:oMathPara>
              <m:oMathParaPr>
                <m:jc m:val="left"/>
              </m:oMathParaPr>
              <m:oMath>
                <m:r>
                  <m:rPr>
                    <m:nor/>
                  </m:rPr>
                  <m:t>=</m:t>
                </m:r>
                <m:sSup>
                  <m:e>
                    <m:r>
                      <m:t>e</m:t>
                    </m:r>
                  </m:e>
                  <m:sup>
                    <m:r>
                      <m:rPr>
                        <m:sty m:val="p"/>
                      </m:rPr>
                      <m:t>−</m:t>
                    </m:r>
                    <m:r>
                      <m:t>i</m:t>
                    </m:r>
                    <m:sSub>
                      <m:e>
                        <m:acc>
                          <m:accPr>
                            <m:chr m:val="̂"/>
                          </m:accPr>
                          <m:e>
                            <m:r>
                              <m:t>H</m:t>
                            </m:r>
                          </m:e>
                        </m:acc>
                      </m:e>
                      <m:sub>
                        <m:r>
                          <m:t>F</m:t>
                        </m:r>
                      </m:sub>
                    </m:sSub>
                    <m:r>
                      <m:t>T</m:t>
                    </m:r>
                  </m:sup>
                </m:sSup>
                <m:r>
                  <m:rPr>
                    <m:sty m:val="p"/>
                  </m:rPr>
                  <m:t>,</m:t>
                </m:r>
              </m:oMath>
            </m:oMathPara>
          </w:p>
        </w:tc>
        <w:tc>
          <w:tcPr>
            <w:tcW w:w="620" w:type="dxa"/>
            <w:vMerge/>
            <w:vAlign w:val="center"/>
          </w:tcPr>
          <w:p>
            <w:pPr>
              <w:keepNext/>
              <w:spacing w:before="40" w:after="40" w:line="300" w:lineRule="auto"/>
              <w:jc w:val="right"/>
            </w:pPr>
          </w:p>
        </w:tc>
      </w:tr>
      <w:tr>
        <w:trPr>
          <w:cantSplit/>
        </w:trPr>
        <w:tc>
          <w:tcPr>
            <w:tcW w:w="1075" w:type="dxa"/>
            <w:vAlign w:val="center"/>
          </w:tcPr>
          <w:p>
            <w:pPr>
              <w:spacing w:before="0" w:after="60" w:line="300" w:lineRule="auto"/>
              <w:jc w:val="right"/>
            </w:pPr>
            <m:oMathPara>
              <m:oMathParaPr>
                <m:jc m:val="right"/>
              </m:oMathParaPr>
              <m:oMath>
                <m:r>
                  <m:rPr>
                    <m:nor/>
                  </m:rPr>
                  <m:t>|</m:t>
                </m:r>
                <m:r>
                  <m:t>ψ</m:t>
                </m:r>
                <m:d>
                  <m:dPr>
                    <m:begChr m:val="("/>
                    <m:endChr m:val=")"/>
                    <m:grow/>
                  </m:dPr>
                  <m:e>
                    <m:r>
                      <m:t>n</m:t>
                    </m:r>
                    <m:r>
                      <m:t>T</m:t>
                    </m:r>
                  </m:e>
                </m:d>
                <m:r>
                  <m:rPr>
                    <m:sty m:val="p"/>
                  </m:rPr>
                  <m:t>⟩</m:t>
                </m:r>
              </m:oMath>
            </m:oMathPara>
          </w:p>
        </w:tc>
        <w:tc>
          <w:tcPr>
            <w:tcW w:w="2458" w:type="dxa"/>
            <w:vAlign w:val="center"/>
          </w:tcPr>
          <w:p>
            <w:pPr>
              <w:spacing w:before="0" w:after="60" w:line="300" w:lineRule="auto"/>
              <w:jc w:val="left"/>
            </w:pPr>
            <m:oMathPara>
              <m:oMathParaPr>
                <m:jc m:val="left"/>
              </m:oMathParaPr>
              <m:oMath>
                <m:r>
                  <m:rPr>
                    <m:nor/>
                  </m:rPr>
                  <m:t>=</m:t>
                </m:r>
                <m:sSubSup>
                  <m:e>
                    <m:acc>
                      <m:accPr>
                        <m:chr m:val="̂"/>
                      </m:accPr>
                      <m:e>
                        <m:r>
                          <m:t>U</m:t>
                        </m:r>
                      </m:e>
                    </m:acc>
                  </m:e>
                  <m:sub>
                    <m:r>
                      <m:t>F</m:t>
                    </m:r>
                  </m:sub>
                  <m:sup>
                    <m:r>
                      <m:t> </m:t>
                    </m:r>
                    <m:r>
                      <m:t>n</m:t>
                    </m:r>
                  </m:sup>
                </m:sSubSup>
                <m:r>
                  <m:rPr>
                    <m:nor/>
                  </m:rPr>
                  <m:t>|</m:t>
                </m:r>
                <m:r>
                  <m:t>ψ</m:t>
                </m:r>
                <m:d>
                  <m:dPr>
                    <m:begChr m:val="("/>
                    <m:endChr m:val=")"/>
                    <m:grow/>
                  </m:dPr>
                  <m:e>
                    <m:r>
                      <m:t>0</m:t>
                    </m:r>
                  </m:e>
                </m:d>
                <m:r>
                  <m:rPr>
                    <m:sty m:val="p"/>
                  </m:rPr>
                  <m:t>⟩</m:t>
                </m:r>
                <m:r>
                  <m:rPr>
                    <m:sty m:val="p"/>
                  </m:rPr>
                  <m:t>,</m:t>
                </m:r>
              </m:oMath>
            </m:oMathPara>
          </w:p>
        </w:tc>
        <w:tc>
          <w:tcPr>
            <w:tcW w:w="620" w:type="dxa"/>
            <w:vMerge/>
            <w:vAlign w:val="center"/>
          </w:tcPr>
          <w:p>
            <w:pPr>
              <w:spacing w:before="40" w:after="40" w:line="300" w:lineRule="auto"/>
              <w:jc w:val="right"/>
            </w:pPr>
          </w:p>
        </w:tc>
      </w:tr>
    </w:tbl>
    <w:p>
      <w:pPr>
        <w:pStyle w:val="FirstParagraph"/>
      </w:pPr>
      <w:r>
        <w:t xml:space="preserve">where</w:t>
      </w:r>
      <w:r>
        <w:t xml:space="preserve"> </w:t>
      </w:r>
      <m:oMath>
        <m:r>
          <m:rPr>
            <m:scr m:val="script"/>
            <m:sty m:val="p"/>
          </m:rPr>
          <m:t>T</m:t>
        </m:r>
      </m:oMath>
      <w:r>
        <w:t xml:space="preserve"> </w:t>
      </w:r>
      <w:r>
        <w:t xml:space="preserve">denotes time ordering and</w:t>
      </w:r>
      <w:r>
        <w:t xml:space="preserve"> </w:t>
      </w:r>
      <m:oMath>
        <m:sSub>
          <m:e>
            <m:acc>
              <m:accPr>
                <m:chr m:val="̂"/>
              </m:accPr>
              <m:e>
                <m:r>
                  <m:t>H</m:t>
                </m:r>
              </m:e>
            </m:acc>
          </m:e>
          <m:sub>
            <m:r>
              <m:t>F</m:t>
            </m:r>
          </m:sub>
        </m:sSub>
      </m:oMath>
      <w:r>
        <w:t xml:space="preserve"> </w:t>
      </w:r>
      <w:r>
        <w:t xml:space="preserve">is the Floquet Hamiltonian. By Floquet’s theorem, the solutions of the Schrödinger equation can be written as</w:t>
      </w:r>
      <w:r>
        <w:t xml:space="preserve"> </w:t>
      </w:r>
      <m:oMath>
        <m:r>
          <m:rPr>
            <m:nor/>
          </m:rPr>
          <m:t>|</m:t>
        </m:r>
        <m:sSub>
          <m:e>
            <m:r>
              <m:t>ψ</m:t>
            </m:r>
          </m:e>
          <m:sub>
            <m:r>
              <m:t>α</m:t>
            </m:r>
          </m:sub>
        </m:sSub>
        <m:d>
          <m:dPr>
            <m:begChr m:val="("/>
            <m:endChr m:val=")"/>
            <m:grow/>
          </m:dPr>
          <m:e>
            <m:r>
              <m:t>t</m:t>
            </m:r>
          </m:e>
        </m:d>
        <m:r>
          <m:rPr>
            <m:sty m:val="p"/>
          </m:rPr>
          <m:t>⟩</m:t>
        </m:r>
        <m:r>
          <m:rPr>
            <m:sty m:val="p"/>
          </m:rPr>
          <m:t>=</m:t>
        </m:r>
        <m:sSup>
          <m:e>
            <m:r>
              <m:t>e</m:t>
            </m:r>
          </m:e>
          <m:sup>
            <m:r>
              <m:rPr>
                <m:sty m:val="p"/>
              </m:rPr>
              <m:t>−</m:t>
            </m:r>
            <m:r>
              <m:t>i</m:t>
            </m:r>
            <m:sSub>
              <m:e>
                <m:r>
                  <m:t>μ</m:t>
                </m:r>
              </m:e>
              <m:sub>
                <m:r>
                  <m:t>α</m:t>
                </m:r>
              </m:sub>
            </m:sSub>
            <m:r>
              <m:t>t</m:t>
            </m:r>
          </m:sup>
        </m:sSup>
        <m:r>
          <m:rPr>
            <m:nor/>
          </m:rPr>
          <m:t>|</m:t>
        </m:r>
        <m:sSub>
          <m:e>
            <m:r>
              <m:t>ϕ</m:t>
            </m:r>
          </m:e>
          <m:sub>
            <m:r>
              <m:t>α</m:t>
            </m:r>
          </m:sub>
        </m:sSub>
        <m:d>
          <m:dPr>
            <m:begChr m:val="("/>
            <m:endChr m:val=")"/>
            <m:grow/>
          </m:dPr>
          <m:e>
            <m:r>
              <m:t>t</m:t>
            </m:r>
          </m:e>
        </m:d>
        <m:r>
          <m:rPr>
            <m:sty m:val="p"/>
          </m:rPr>
          <m:t>⟩</m:t>
        </m:r>
      </m:oMath>
      <w:r>
        <w:t xml:space="preserve">, where</w:t>
      </w:r>
      <w:r>
        <w:t xml:space="preserve"> </w:t>
      </w:r>
      <m:oMath>
        <m:r>
          <m:rPr>
            <m:nor/>
          </m:rPr>
          <m:t>|</m:t>
        </m:r>
        <m:sSub>
          <m:e>
            <m:r>
              <m:t>ϕ</m:t>
            </m:r>
          </m:e>
          <m:sub>
            <m:r>
              <m:t>α</m:t>
            </m:r>
          </m:sub>
        </m:sSub>
        <m:d>
          <m:dPr>
            <m:begChr m:val="("/>
            <m:endChr m:val=")"/>
            <m:grow/>
          </m:dPr>
          <m:e>
            <m:r>
              <m:t>t</m:t>
            </m:r>
            <m:r>
              <m:rPr>
                <m:sty m:val="p"/>
              </m:rPr>
              <m:t>+</m:t>
            </m:r>
            <m:r>
              <m:t>T</m:t>
            </m:r>
          </m:e>
        </m:d>
        <m:r>
          <m:rPr>
            <m:sty m:val="p"/>
          </m:rPr>
          <m:t>⟩</m:t>
        </m:r>
        <m:r>
          <m:rPr>
            <m:sty m:val="p"/>
          </m:rPr>
          <m:t>=</m:t>
        </m:r>
        <m:r>
          <m:rPr>
            <m:nor/>
          </m:rPr>
          <m:t>|</m:t>
        </m:r>
        <m:sSub>
          <m:e>
            <m:r>
              <m:t>ϕ</m:t>
            </m:r>
          </m:e>
          <m:sub>
            <m:r>
              <m:t>α</m:t>
            </m:r>
          </m:sub>
        </m:sSub>
        <m:d>
          <m:dPr>
            <m:begChr m:val="("/>
            <m:endChr m:val=")"/>
            <m:grow/>
          </m:dPr>
          <m:e>
            <m:r>
              <m:t>t</m:t>
            </m:r>
          </m:e>
        </m:d>
        <m:r>
          <m:rPr>
            <m:sty m:val="p"/>
          </m:rPr>
          <m:t>⟩</m:t>
        </m:r>
      </m:oMath>
      <w:r>
        <w:t xml:space="preserve"> </w:t>
      </w:r>
      <w:r>
        <w:t xml:space="preserve">and the quasienergies</w:t>
      </w:r>
      <w:r>
        <w:t xml:space="preserve"> </w:t>
      </w:r>
      <m:oMath>
        <m:sSub>
          <m:e>
            <m:r>
              <m:t>μ</m:t>
            </m:r>
          </m:e>
          <m:sub>
            <m:r>
              <m:t>α</m:t>
            </m:r>
          </m:sub>
        </m:sSub>
      </m:oMath>
      <w:r>
        <w:t xml:space="preserve"> </w:t>
      </w:r>
      <w:r>
        <w:t xml:space="preserve">are defined modulo</w:t>
      </w:r>
      <w:r>
        <w:t xml:space="preserve"> </w:t>
      </w:r>
      <m:oMath>
        <m:sSub>
          <m:e>
            <m:r>
              <m:t>ω</m:t>
            </m:r>
          </m:e>
          <m:sub>
            <m:r>
              <m:t>D</m:t>
            </m:r>
          </m:sub>
        </m:sSub>
      </m:oMath>
      <w:r>
        <w:t xml:space="preserve">. The Floquet eigenstates</w:t>
      </w:r>
      <w:r>
        <w:t xml:space="preserve"> </w:t>
      </w:r>
      <m:oMath>
        <m:r>
          <m:rPr>
            <m:nor/>
          </m:rPr>
          <m:t>|</m:t>
        </m:r>
        <m:sSub>
          <m:e>
            <m:r>
              <m:t>ϕ</m:t>
            </m:r>
          </m:e>
          <m:sub>
            <m:r>
              <m:t>α</m:t>
            </m:r>
          </m:sub>
        </m:sSub>
        <m:d>
          <m:dPr>
            <m:begChr m:val="("/>
            <m:endChr m:val=")"/>
            <m:grow/>
          </m:dPr>
          <m:e>
            <m:r>
              <m:t>0</m:t>
            </m:r>
          </m:e>
        </m:d>
        <m:r>
          <m:rPr>
            <m:sty m:val="p"/>
          </m:rPr>
          <m:t>⟩</m:t>
        </m:r>
      </m:oMath>
      <w:r>
        <w:t xml:space="preserve"> </w:t>
      </w:r>
      <w:r>
        <w:t xml:space="preserve">are invariant under</w:t>
      </w:r>
      <w:r>
        <w:t xml:space="preserve"> </w:t>
      </w:r>
      <m:oMath>
        <m:sSub>
          <m:e>
            <m:acc>
              <m:accPr>
                <m:chr m:val="̂"/>
              </m:accPr>
              <m:e>
                <m:r>
                  <m:t>U</m:t>
                </m:r>
              </m:e>
            </m:acc>
          </m:e>
          <m:sub>
            <m:r>
              <m:t>F</m:t>
            </m:r>
          </m:sub>
        </m:sSub>
      </m:oMath>
      <w:r>
        <w:t xml:space="preserve"> </w:t>
      </w:r>
      <w:r>
        <w:t xml:space="preserve">up to a phase. They therefore maintain the discrete time translation symmetry</w:t>
      </w:r>
      <w:r>
        <w:t xml:space="preserve"> </w:t>
      </w:r>
      <m:oMath>
        <m:r>
          <m:t>t</m:t>
        </m:r>
        <m:r>
          <m:rPr>
            <m:sty m:val="p"/>
          </m:rPr>
          <m:t>→</m:t>
        </m:r>
        <m:r>
          <m:t>t</m:t>
        </m:r>
        <m:r>
          <m:rPr>
            <m:sty m:val="p"/>
          </m:rPr>
          <m:t>+</m:t>
        </m:r>
        <m:r>
          <m:t>T</m:t>
        </m:r>
      </m:oMath>
      <w:r>
        <w:t xml:space="preserve">, and play the role that energy eigenstates and Gibbs states play in equilibrium. Any breaking of this symmetry must therefore be spontaneous.</w:t>
      </w:r>
    </w:p>
    <w:p>
      <w:pPr>
        <w:pStyle w:val="BodyText"/>
      </w:pPr>
      <w:r>
        <w:t xml:space="preserve">Discrete time translation symmetry is spontaneously broken if, for generic short range correlated initial states</w:t>
      </w:r>
      <w:r>
        <w:t xml:space="preserve"> </w:t>
      </w:r>
      <m:oMath>
        <m:r>
          <m:rPr>
            <m:nor/>
          </m:rPr>
          <m:t>|</m:t>
        </m:r>
        <m:r>
          <m:t>ψ</m:t>
        </m:r>
        <m:d>
          <m:dPr>
            <m:begChr m:val="("/>
            <m:endChr m:val=")"/>
            <m:grow/>
          </m:dPr>
          <m:e>
            <m:r>
              <m:t>0</m:t>
            </m:r>
          </m:e>
        </m:d>
        <m:r>
          <m:rPr>
            <m:sty m:val="p"/>
          </m:rPr>
          <m:t>⟩</m:t>
        </m:r>
      </m:oMath>
      <w:r>
        <w:t xml:space="preserve"> </w:t>
      </w:r>
      <w:r>
        <w:t xml:space="preserve">(for instance product states), the stroboscopic expectation value</w:t>
      </w:r>
      <w:r>
        <w:t xml:space="preserve"> </w:t>
      </w:r>
      <m:oMath>
        <m:r>
          <m:t>f</m:t>
        </m:r>
        <m:d>
          <m:dPr>
            <m:begChr m:val="("/>
            <m:endChr m:val=")"/>
            <m:grow/>
          </m:dPr>
          <m:e>
            <m:r>
              <m:t>n</m:t>
            </m:r>
            <m:r>
              <m:t>T</m:t>
            </m:r>
          </m:e>
        </m:d>
        <m:r>
          <m:rPr>
            <m:sty m:val="p"/>
          </m:rPr>
          <m:t>=</m:t>
        </m:r>
        <m:r>
          <m:rPr>
            <m:sty m:val="p"/>
          </m:rPr>
          <m:t>⟨</m:t>
        </m:r>
        <m:r>
          <m:t>ψ</m:t>
        </m:r>
        <m:d>
          <m:dPr>
            <m:begChr m:val="("/>
            <m:endChr m:val=")"/>
            <m:grow/>
          </m:dPr>
          <m:e>
            <m:r>
              <m:t>n</m:t>
            </m:r>
            <m:r>
              <m:t>T</m:t>
            </m:r>
          </m:e>
        </m:d>
        <m:r>
          <m:rPr>
            <m:nor/>
          </m:rPr>
          <m:t>|</m:t>
        </m:r>
        <m:acc>
          <m:accPr>
            <m:chr m:val="̂"/>
          </m:accPr>
          <m:e>
            <m:r>
              <m:rPr>
                <m:scr m:val="script"/>
                <m:sty m:val="p"/>
              </m:rPr>
              <m:t>O</m:t>
            </m:r>
          </m:e>
        </m:acc>
        <m:r>
          <m:rPr>
            <m:nor/>
          </m:rPr>
          <m:t>|</m:t>
        </m:r>
        <m:r>
          <m:t>ψ</m:t>
        </m:r>
        <m:d>
          <m:dPr>
            <m:begChr m:val="("/>
            <m:endChr m:val=")"/>
            <m:grow/>
          </m:dPr>
          <m:e>
            <m:r>
              <m:t>n</m:t>
            </m:r>
            <m:r>
              <m:t>T</m:t>
            </m:r>
          </m:e>
        </m:d>
        <m:r>
          <m:rPr>
            <m:sty m:val="p"/>
          </m:rPr>
          <m:t>⟩</m:t>
        </m:r>
      </m:oMath>
      <w:r>
        <w:t xml:space="preserve"> </w:t>
      </w:r>
      <w:r>
        <w:t xml:space="preserve">of some local observable</w:t>
      </w:r>
      <w:r>
        <w:t xml:space="preserve"> </w:t>
      </w:r>
      <m:oMath>
        <m:acc>
          <m:accPr>
            <m:chr m:val="̂"/>
          </m:accPr>
          <m:e>
            <m:r>
              <m:rPr>
                <m:scr m:val="script"/>
                <m:sty m:val="p"/>
              </m:rPr>
              <m:t>O</m:t>
            </m:r>
          </m:e>
        </m:acc>
      </m:oMath>
      <w:r>
        <w:t xml:space="preserve"> </w:t>
      </w:r>
      <w:r>
        <w:t xml:space="preserve">is not</w:t>
      </w:r>
      <w:r>
        <w:t xml:space="preserve"> </w:t>
      </w:r>
      <m:oMath>
        <m:r>
          <m:t>T</m:t>
        </m:r>
      </m:oMath>
      <w:r>
        <w:t xml:space="preserve">-periodic but repeats only after</w:t>
      </w:r>
      <w:r>
        <w:t xml:space="preserve"> </w:t>
      </w:r>
      <m:oMath>
        <m:r>
          <m:t>m</m:t>
        </m:r>
        <m:r>
          <m:rPr>
            <m:sty m:val="p"/>
          </m:rPr>
          <m:t>&gt;</m:t>
        </m:r>
        <m:r>
          <m:t>1</m:t>
        </m:r>
      </m:oMath>
      <w:r>
        <w:t xml:space="preserve"> </w:t>
      </w:r>
      <w:r>
        <w:t xml:space="preserve">periods,</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1075"/>
        <w:gridCol w:w="2458"/>
        <w:gridCol w:w="620"/>
      </w:tblGrid>
      <w:tr>
        <w:trPr>
          <w:cantSplit/>
        </w:trPr>
        <w:tc>
          <w:tcPr>
            <w:tcW w:w="1075" w:type="dxa"/>
            <w:vAlign w:val="center"/>
          </w:tcPr>
          <w:p>
            <w:pPr>
              <w:keepNext/>
              <w:spacing w:before="60" w:after="0" w:line="300" w:lineRule="auto"/>
              <w:jc w:val="right"/>
            </w:pPr>
            <m:oMathPara>
              <m:oMathParaPr>
                <m:jc m:val="right"/>
              </m:oMathParaPr>
              <m:oMath>
                <m:r>
                  <m:t>f</m:t>
                </m:r>
                <m:d>
                  <m:dPr>
                    <m:begChr m:val="("/>
                    <m:endChr m:val=")"/>
                    <m:grow/>
                  </m:dPr>
                  <m:e>
                    <m:d>
                      <m:dPr>
                        <m:begChr m:val="("/>
                        <m:endChr m:val=")"/>
                        <m:grow/>
                      </m:dPr>
                      <m:e>
                        <m:r>
                          <m:t>n</m:t>
                        </m:r>
                        <m:r>
                          <m:rPr>
                            <m:sty m:val="p"/>
                          </m:rPr>
                          <m:t>+</m:t>
                        </m:r>
                        <m:r>
                          <m:t>1</m:t>
                        </m:r>
                      </m:e>
                    </m:d>
                    <m:r>
                      <m:t>T</m:t>
                    </m:r>
                  </m:e>
                </m:d>
              </m:oMath>
            </m:oMathPara>
          </w:p>
        </w:tc>
        <w:tc>
          <w:tcPr>
            <w:tcW w:w="2458" w:type="dxa"/>
            <w:vAlign w:val="center"/>
          </w:tcPr>
          <w:p>
            <w:pPr>
              <w:keepNext/>
              <w:spacing w:before="60" w:after="0" w:line="300" w:lineRule="auto"/>
              <w:jc w:val="left"/>
            </w:pPr>
            <m:oMathPara>
              <m:oMathParaPr>
                <m:jc m:val="left"/>
              </m:oMathParaPr>
              <m:oMath>
                <m:r>
                  <m:rPr>
                    <m:nor/>
                  </m:rPr>
                  <m:t>≠</m:t>
                </m:r>
                <m:r>
                  <m:t>f</m:t>
                </m:r>
                <m:d>
                  <m:dPr>
                    <m:begChr m:val="("/>
                    <m:endChr m:val=")"/>
                    <m:grow/>
                  </m:dPr>
                  <m:e>
                    <m:r>
                      <m:t>n</m:t>
                    </m:r>
                    <m:r>
                      <m:t>T</m:t>
                    </m:r>
                  </m:e>
                </m:d>
                <m:r>
                  <m:rPr>
                    <m:sty m:val="p"/>
                  </m:rPr>
                  <m:t>,</m:t>
                </m:r>
              </m:oMath>
            </m:oMathPara>
          </w:p>
        </w:tc>
        <w:tc>
          <w:tcPr>
            <w:tcW w:w="620" w:type="dxa"/>
            <w:vMerge w:val="restart"/>
            <w:vAlign w:val="center"/>
          </w:tcPr>
          <w:p>
            <w:pPr>
              <w:keepNext/>
              <w:spacing w:before="40" w:after="40" w:line="300" w:lineRule="auto"/>
              <w:jc w:val="right"/>
            </w:pPr>
            <w:r>
              <w:t>(3)</w:t>
            </w:r>
          </w:p>
        </w:tc>
      </w:tr>
      <w:tr>
        <w:trPr>
          <w:cantSplit/>
        </w:trPr>
        <w:tc>
          <w:tcPr>
            <w:tcW w:w="1075" w:type="dxa"/>
            <w:vAlign w:val="center"/>
          </w:tcPr>
          <w:p>
            <w:pPr>
              <w:spacing w:before="0" w:after="60" w:line="300" w:lineRule="auto"/>
              <w:jc w:val="right"/>
            </w:pPr>
            <m:oMathPara>
              <m:oMathParaPr>
                <m:jc m:val="right"/>
              </m:oMathParaPr>
              <m:oMath>
                <m:r>
                  <m:t>f</m:t>
                </m:r>
                <m:d>
                  <m:dPr>
                    <m:begChr m:val="("/>
                    <m:endChr m:val=")"/>
                    <m:grow/>
                  </m:dPr>
                  <m:e>
                    <m:d>
                      <m:dPr>
                        <m:begChr m:val="("/>
                        <m:endChr m:val=")"/>
                        <m:grow/>
                      </m:dPr>
                      <m:e>
                        <m:r>
                          <m:t>n</m:t>
                        </m:r>
                        <m:r>
                          <m:rPr>
                            <m:sty m:val="p"/>
                          </m:rPr>
                          <m:t>+</m:t>
                        </m:r>
                        <m:r>
                          <m:t>m</m:t>
                        </m:r>
                      </m:e>
                    </m:d>
                    <m:r>
                      <m:t>T</m:t>
                    </m:r>
                  </m:e>
                </m:d>
              </m:oMath>
            </m:oMathPara>
          </w:p>
        </w:tc>
        <w:tc>
          <w:tcPr>
            <w:tcW w:w="2458" w:type="dxa"/>
            <w:vAlign w:val="center"/>
          </w:tcPr>
          <w:p>
            <w:pPr>
              <w:spacing w:before="0" w:after="60" w:line="300" w:lineRule="auto"/>
              <w:jc w:val="left"/>
            </w:pPr>
            <m:oMathPara>
              <m:oMathParaPr>
                <m:jc m:val="left"/>
              </m:oMathParaPr>
              <m:oMath>
                <m:r>
                  <m:rPr>
                    <m:nor/>
                  </m:rPr>
                  <m:t>=</m:t>
                </m:r>
                <m:r>
                  <m:t>f</m:t>
                </m:r>
                <m:d>
                  <m:dPr>
                    <m:begChr m:val="("/>
                    <m:endChr m:val=")"/>
                    <m:grow/>
                  </m:dPr>
                  <m:e>
                    <m:r>
                      <m:t>n</m:t>
                    </m:r>
                    <m:r>
                      <m:t>T</m:t>
                    </m:r>
                  </m:e>
                </m:d>
                <m:r>
                  <m:rPr>
                    <m:nor/>
                  </m:rPr>
                  <m:t>.</m:t>
                </m:r>
              </m:oMath>
            </m:oMathPara>
          </w:p>
        </w:tc>
        <w:tc>
          <w:tcPr>
            <w:tcW w:w="620" w:type="dxa"/>
            <w:vMerge/>
            <w:vAlign w:val="center"/>
          </w:tcPr>
          <w:p>
            <w:pPr>
              <w:spacing w:before="40" w:after="40" w:line="300" w:lineRule="auto"/>
              <w:jc w:val="right"/>
            </w:pPr>
          </w:p>
        </w:tc>
      </w:tr>
    </w:tbl>
    <w:p>
      <w:pPr>
        <w:pStyle w:val="FirstParagraph"/>
      </w:pPr>
      <w:r>
        <w:t xml:space="preserve">This manifests as a subharmonic response, which can be readily observed as a peak at frequency</w:t>
      </w:r>
      <w:r>
        <w:t xml:space="preserve"> </w:t>
      </w:r>
      <m:oMath>
        <m:sSub>
          <m:e>
            <m:r>
              <m:t>ω</m:t>
            </m:r>
          </m:e>
          <m:sub>
            <m:r>
              <m:t>D</m:t>
            </m:r>
          </m:sub>
        </m:sSub>
        <m:r>
          <m:rPr>
            <m:sty m:val="p"/>
          </m:rPr>
          <m:t>/</m:t>
        </m:r>
        <m:r>
          <m:t>m</m:t>
        </m:r>
      </m:oMath>
      <w:r>
        <w:t xml:space="preserve"> </w:t>
      </w:r>
      <w:r>
        <w:t xml:space="preserve">in the Fourier spectrum of</w:t>
      </w:r>
      <w:r>
        <w:t xml:space="preserve"> </w:t>
      </w:r>
      <m:oMath>
        <m:r>
          <m:t>f</m:t>
        </m:r>
        <m:d>
          <m:dPr>
            <m:begChr m:val="("/>
            <m:endChr m:val=")"/>
            <m:grow/>
          </m:dPr>
          <m:e>
            <m:r>
              <m:t>n</m:t>
            </m:r>
            <m:r>
              <m:t>T</m:t>
            </m:r>
          </m:e>
        </m:d>
      </m:oMath>
      <w:r>
        <w:t xml:space="preserve">. Equivalently, the Floquet eigenstates are long range correlated cat states. Their quasienergies are organized in multiplets split by</w:t>
      </w:r>
      <w:r>
        <w:t xml:space="preserve"> </w:t>
      </w:r>
      <m:oMath>
        <m:sSub>
          <m:e>
            <m:r>
              <m:t>ω</m:t>
            </m:r>
          </m:e>
          <m:sub>
            <m:r>
              <m:t>D</m:t>
            </m:r>
          </m:sub>
        </m:sSub>
        <m:r>
          <m:rPr>
            <m:sty m:val="p"/>
          </m:rPr>
          <m:t>/</m:t>
        </m:r>
        <m:r>
          <m:t>m</m:t>
        </m:r>
      </m:oMath>
      <w:r>
        <w:t xml:space="preserve">, which is the Floquet analogue of the correlator criterion in Eq. (1) (Else et al., 2016; Khemani et al., 2017; von Keyserlingk et al., 2016).</w:t>
      </w:r>
    </w:p>
    <w:p>
      <w:pPr>
        <w:pStyle w:val="BodyText"/>
      </w:pPr>
      <w:r>
        <w:t xml:space="preserve">A subharmonic response alone, however, does not guarantee a discrete time crystal. The response must emerge from the collective dynamics of the interacting driven system. Non-interacting spins subjected to perfect</w:t>
      </w:r>
      <w:r>
        <w:t xml:space="preserve"> </w:t>
      </w:r>
      <m:oMath>
        <m:r>
          <m:t>π</m:t>
        </m:r>
      </m:oMath>
      <w:r>
        <w:t xml:space="preserve"> </w:t>
      </w:r>
      <w:r>
        <w:t xml:space="preserve">pulses flip every period and trivially show period doubling. A spin rotation error</w:t>
      </w:r>
      <w:r>
        <w:t xml:space="preserve"> </w:t>
      </w:r>
      <m:oMath>
        <m:sSub>
          <m:e>
            <m:r>
              <m:t>ε</m:t>
            </m:r>
          </m:e>
          <m:sub>
            <m:r>
              <m:t>r</m:t>
            </m:r>
          </m:sub>
        </m:sSub>
      </m:oMath>
      <w:r>
        <w:t xml:space="preserve">, however, shifts the response frequency from</w:t>
      </w:r>
      <w:r>
        <w:t xml:space="preserve"> </w:t>
      </w:r>
      <m:oMath>
        <m:r>
          <m:t>π</m:t>
        </m:r>
        <m:r>
          <m:rPr>
            <m:sty m:val="p"/>
          </m:rPr>
          <m:t>/</m:t>
        </m:r>
        <m:r>
          <m:t>T</m:t>
        </m:r>
      </m:oMath>
      <w:r>
        <w:t xml:space="preserve"> </w:t>
      </w:r>
      <w:r>
        <w:t xml:space="preserve">to</w:t>
      </w:r>
      <w:r>
        <w:t xml:space="preserve"> </w:t>
      </w:r>
      <m:oMath>
        <m:r>
          <m:t>π</m:t>
        </m:r>
        <m:d>
          <m:dPr>
            <m:begChr m:val="("/>
            <m:endChr m:val=")"/>
            <m:grow/>
          </m:dPr>
          <m:e>
            <m:r>
              <m:t>1</m:t>
            </m:r>
            <m:r>
              <m:rPr>
                <m:sty m:val="p"/>
              </m:rPr>
              <m:t>−</m:t>
            </m:r>
            <m:sSub>
              <m:e>
                <m:r>
                  <m:t>ε</m:t>
                </m:r>
              </m:e>
              <m:sub>
                <m:r>
                  <m:t>r</m:t>
                </m:r>
              </m:sub>
            </m:sSub>
          </m:e>
        </m:d>
        <m:r>
          <m:rPr>
            <m:sty m:val="p"/>
          </m:rPr>
          <m:t>/</m:t>
        </m:r>
        <m:r>
          <m:t>T</m:t>
        </m:r>
      </m:oMath>
      <w:r>
        <w:t xml:space="preserve">, so the period is not locked. To label a system a discrete time crystal, it must therefore satisfy the following criteria (Else et al., 2016; Khemani et al., 2016; Yao et al., 2017):</w:t>
      </w:r>
    </w:p>
    <w:p>
      <w:pPr>
        <w:pStyle w:val="Compact"/>
        <w:numPr>
          <w:ilvl w:val="0"/>
          <w:numId w:val="1001"/>
        </w:numPr>
      </w:pPr>
      <w:r>
        <w:t xml:space="preserve">The system should exhibit spontaneous breaking of discrete time translation symmetry: for generic short-range correlated initial states, the stroboscopic expectation value of a local observable should satisfy Eq. (3), even though the Hamiltonian is periodic,</w:t>
      </w:r>
      <w:r>
        <w:t xml:space="preserve"> </w:t>
      </w:r>
      <m:oMath>
        <m:acc>
          <m:accPr>
            <m:chr m:val="̂"/>
          </m:accPr>
          <m:e>
            <m:r>
              <m:t>H</m:t>
            </m:r>
          </m:e>
        </m:acc>
        <m:d>
          <m:dPr>
            <m:begChr m:val="("/>
            <m:endChr m:val=")"/>
            <m:grow/>
          </m:dPr>
          <m:e>
            <m:r>
              <m:t>t</m:t>
            </m:r>
          </m:e>
        </m:d>
        <m:r>
          <m:rPr>
            <m:sty m:val="p"/>
          </m:rPr>
          <m:t>=</m:t>
        </m:r>
        <m:acc>
          <m:accPr>
            <m:chr m:val="̂"/>
          </m:accPr>
          <m:e>
            <m:r>
              <m:t>H</m:t>
            </m:r>
          </m:e>
        </m:acc>
        <m:d>
          <m:dPr>
            <m:begChr m:val="("/>
            <m:endChr m:val=")"/>
            <m:grow/>
          </m:dPr>
          <m:e>
            <m:r>
              <m:t>t</m:t>
            </m:r>
            <m:r>
              <m:rPr>
                <m:sty m:val="p"/>
              </m:rPr>
              <m:t>+</m:t>
            </m:r>
            <m:r>
              <m:t>T</m:t>
            </m:r>
          </m:e>
        </m:d>
      </m:oMath>
      <w:r>
        <w:t xml:space="preserve">.</w:t>
      </w:r>
    </w:p>
    <w:p>
      <w:pPr>
        <w:pStyle w:val="Compact"/>
        <w:numPr>
          <w:ilvl w:val="0"/>
          <w:numId w:val="1002"/>
        </w:numPr>
      </w:pPr>
      <w:r>
        <w:t xml:space="preserve">The response should be rigid: the subharmonic oscillations should remain locked at period</w:t>
      </w:r>
      <w:r>
        <w:t xml:space="preserve"> </w:t>
      </w:r>
      <m:oMath>
        <m:r>
          <m:t>m</m:t>
        </m:r>
        <m:r>
          <m:t>T</m:t>
        </m:r>
      </m:oMath>
      <w:r>
        <w:t xml:space="preserve"> </w:t>
      </w:r>
      <w:r>
        <w:t xml:space="preserve">over a finite range of parameters, including imperfect pulses, without fine tuning the system parameters.</w:t>
      </w:r>
    </w:p>
    <w:p>
      <w:pPr>
        <w:pStyle w:val="Compact"/>
        <w:numPr>
          <w:ilvl w:val="0"/>
          <w:numId w:val="1003"/>
        </w:numPr>
      </w:pPr>
      <w:r>
        <w:t xml:space="preserve">The oscillating order parameter should be long-range correlated in space, and the oscillations should persist indefinitely in the thermodynamic limit. The limits must be taken in the order</w:t>
      </w:r>
      <w:r>
        <w:t xml:space="preserve"> </w:t>
      </w:r>
      <m:oMath>
        <m:sSub>
          <m:e>
            <m:r>
              <m:rPr>
                <m:nor/>
              </m:rPr>
              <m:t>lim</m:t>
            </m:r>
          </m:e>
          <m:sub>
            <m:r>
              <m:t>n</m:t>
            </m:r>
            <m:r>
              <m:t>T</m:t>
            </m:r>
            <m:r>
              <m:rPr>
                <m:sty m:val="p"/>
              </m:rPr>
              <m:t>→</m:t>
            </m:r>
            <m:r>
              <m:rPr>
                <m:sty m:val="p"/>
              </m:rPr>
              <m:t>∞</m:t>
            </m:r>
          </m:sub>
        </m:sSub>
        <m:sSub>
          <m:e>
            <m:r>
              <m:rPr>
                <m:nor/>
              </m:rPr>
              <m:t>lim</m:t>
            </m:r>
          </m:e>
          <m:sub>
            <m:r>
              <m:t>N</m:t>
            </m:r>
            <m:r>
              <m:rPr>
                <m:sty m:val="p"/>
              </m:rPr>
              <m:t>→</m:t>
            </m:r>
            <m:r>
              <m:rPr>
                <m:sty m:val="p"/>
              </m:rPr>
              <m:t>∞</m:t>
            </m:r>
          </m:sub>
        </m:sSub>
      </m:oMath>
      <w:r>
        <w:t xml:space="preserve">, since in any finite system tunnelling between the cat state partners eventually destroys the oscillation.</w:t>
      </w:r>
    </w:p>
    <w:p>
      <w:pPr>
        <w:pStyle w:val="FirstParagraph"/>
      </w:pPr>
      <w:r>
        <w:t xml:space="preserve">Therefore, the dynamics of a periodically driven interacting system must support a robust subharmonic response that persists in the thermodynamic limit. In generic driven systems, however, energy absorption from the drive leads to heating toward infinite temperature. Because a periodic drive conserves no energy, the Floquet eigenstates of a generic interacting system satisfy a Floquet version of the eigenstate thermalization hypothesis (ETH) (D’Alessio et al., 2016; Deutsch, 1991; Srednicki, 1994). Local observables then relax to their infinite-temperature values, which destroys the subharmonic response (D’Alessio &amp; Rigol, 2014; Lazarides et al., 2014a). A central challenge is therefore to identify mechanisms that suppress heating while stabilizing the subharmonic dynamics. One widely studied approach is to localize the many-body system throughout the drive cycle. Other approaches slow down or prevent heating without localization.</w:t>
      </w:r>
    </w:p>
    <w:p>
      <w:pPr>
        <w:pStyle w:val="BodyText"/>
      </w:pPr>
      <w:r>
        <w:t xml:space="preserve">Several theoretically and experimentally established mechanisms can provide such localization or otherwise suppress heating. The most widely used approach is to introduce strong disorder, which can produce many-body localization (MBL) (Abanin et al., 2019; Basko et al., 2006; Pal &amp; Huse, 2010). An MBL system possesses an extensive set of quasi-local integrals of motion (Huse et al., 2014; Serbyn et al., 2013), and MBL has been proven in one-dimensional spin chains under an assumption on level statistics (Imbrie, 2016). MBL persists under periodic driving (Lazarides et al., 2015; Ponte et al., 2015). Its quasi-local integrals of motion inhibit energy absorption from the drive and thus prevent heating to infinite temperature. MBL is stable against weak perturbations within the isolated system. It is, however, destroyed by coupling to an environment, and its stability in higher dimensions, with long-range interactions, and asymptotically even in one dimension remains under active debate (De Roeck &amp; Huveneers, 2017; Morningstar et al., 2022; Šuntajs et al., 2020).</w:t>
      </w:r>
    </w:p>
    <w:p>
      <w:pPr>
        <w:pStyle w:val="BodyText"/>
      </w:pPr>
      <w:r>
        <w:t xml:space="preserve">A second approach is to use a clean, disorder-free system driven at high frequency. When the drive frequency is large compared with the local energy scale</w:t>
      </w:r>
      <w:r>
        <w:t xml:space="preserve"> </w:t>
      </w:r>
      <m:oMath>
        <m:sSub>
          <m:e>
            <m:r>
              <m:t>J</m:t>
            </m:r>
          </m:e>
          <m:sub>
            <m:r>
              <m:rPr>
                <m:nor/>
              </m:rPr>
              <m:t>loc</m:t>
            </m:r>
          </m:sub>
        </m:sSub>
      </m:oMath>
      <w:r>
        <w:t xml:space="preserve">, heating is exponentially slow, with a rate bounded by</w:t>
      </w:r>
      <w:r>
        <w:t xml:space="preserve"> </w:t>
      </w:r>
      <m:oMath>
        <m:sSup>
          <m:e>
            <m:r>
              <m:t>e</m:t>
            </m:r>
          </m:e>
          <m:sup>
            <m:r>
              <m:rPr>
                <m:sty m:val="p"/>
              </m:rPr>
              <m:t>−</m:t>
            </m:r>
            <m:r>
              <m:t>c</m:t>
            </m:r>
            <m:r>
              <m:t> </m:t>
            </m:r>
            <m:sSub>
              <m:e>
                <m:r>
                  <m:t>ω</m:t>
                </m:r>
              </m:e>
              <m:sub>
                <m:r>
                  <m:t>D</m:t>
                </m:r>
              </m:sub>
            </m:sSub>
            <m:r>
              <m:rPr>
                <m:sty m:val="p"/>
              </m:rPr>
              <m:t>/</m:t>
            </m:r>
            <m:sSub>
              <m:e>
                <m:r>
                  <m:t>J</m:t>
                </m:r>
              </m:e>
              <m:sub>
                <m:r>
                  <m:rPr>
                    <m:nor/>
                  </m:rPr>
                  <m:t>loc</m:t>
                </m:r>
              </m:sub>
            </m:sSub>
          </m:sup>
        </m:sSup>
      </m:oMath>
      <w:r>
        <w:t xml:space="preserve"> </w:t>
      </w:r>
      <w:r>
        <w:t xml:space="preserve">(Abanin et al., 2017; Kuwahara et al., 2016; Mori et al., 2016). The system then enters a prethermal regime in which its dynamics are governed, for long but finite times, by an effective time-independent Hamiltonian before eventual heating occurs. By the Watanabe-Oshikawa theorem, such a static effective Hamiltonian alone cannot host a time crystal. For a drive containing a near-</w:t>
      </w:r>
      <m:oMath>
        <m:r>
          <m:t>π</m:t>
        </m:r>
      </m:oMath>
      <w:r>
        <w:t xml:space="preserve"> </w:t>
      </w:r>
      <w:r>
        <w:t xml:space="preserve">global spin flip</w:t>
      </w:r>
      <w:r>
        <w:t xml:space="preserve"> </w:t>
      </w:r>
      <m:oMath>
        <m:acc>
          <m:accPr>
            <m:chr m:val="̂"/>
          </m:accPr>
          <m:e>
            <m:r>
              <m:t>P</m:t>
            </m:r>
          </m:e>
        </m:acc>
      </m:oMath>
      <w:r>
        <w:t xml:space="preserve">, however, the Floquet operator takes the form</w:t>
      </w:r>
      <w:r>
        <w:t xml:space="preserve"> </w:t>
      </w:r>
      <m:oMath>
        <m:sSub>
          <m:e>
            <m:acc>
              <m:accPr>
                <m:chr m:val="̂"/>
              </m:accPr>
              <m:e>
                <m:r>
                  <m:t>U</m:t>
                </m:r>
              </m:e>
            </m:acc>
          </m:e>
          <m:sub>
            <m:r>
              <m:t>F</m:t>
            </m:r>
          </m:sub>
        </m:sSub>
        <m:r>
          <m:rPr>
            <m:sty m:val="p"/>
          </m:rPr>
          <m:t>≈</m:t>
        </m:r>
        <m:acc>
          <m:accPr>
            <m:chr m:val="̂"/>
          </m:accPr>
          <m:e>
            <m:r>
              <m:t>P</m:t>
            </m:r>
          </m:e>
        </m:acc>
        <m:r>
          <m:t> </m:t>
        </m:r>
        <m:sSup>
          <m:e>
            <m:r>
              <m:t>e</m:t>
            </m:r>
          </m:e>
          <m:sup>
            <m:r>
              <m:rPr>
                <m:sty m:val="p"/>
              </m:rPr>
              <m:t>−</m:t>
            </m:r>
            <m:r>
              <m:t>i</m:t>
            </m:r>
            <m:acc>
              <m:accPr>
                <m:chr m:val="̂"/>
              </m:accPr>
              <m:e>
                <m:r>
                  <m:t>D</m:t>
                </m:r>
              </m:e>
            </m:acc>
            <m:r>
              <m:t>T</m:t>
            </m:r>
          </m:sup>
        </m:sSup>
      </m:oMath>
      <w:r>
        <w:t xml:space="preserve">, where the effective Hamiltonian</w:t>
      </w:r>
      <w:r>
        <w:t xml:space="preserve"> </w:t>
      </w:r>
      <m:oMath>
        <m:acc>
          <m:accPr>
            <m:chr m:val="̂"/>
          </m:accPr>
          <m:e>
            <m:r>
              <m:t>D</m:t>
            </m:r>
          </m:e>
        </m:acc>
      </m:oMath>
      <w:r>
        <w:t xml:space="preserve"> </w:t>
      </w:r>
      <w:r>
        <w:t xml:space="preserve">has an emergent</w:t>
      </w:r>
      <w:r>
        <w:t xml:space="preserve"> </w:t>
      </w:r>
      <m:oMath>
        <m:sSub>
          <m:e>
            <m:r>
              <m:rPr>
                <m:scr m:val="double-struck"/>
                <m:sty m:val="p"/>
              </m:rPr>
              <m:t>Z</m:t>
            </m:r>
          </m:e>
          <m:sub>
            <m:r>
              <m:t>2</m:t>
            </m:r>
          </m:sub>
        </m:sSub>
      </m:oMath>
      <w:r>
        <w:t xml:space="preserve"> </w:t>
      </w:r>
      <w:r>
        <w:t xml:space="preserve">symmetry,</w:t>
      </w:r>
      <w:r>
        <w:t xml:space="preserve"> </w:t>
      </w:r>
      <m:oMath>
        <m:d>
          <m:dPr>
            <m:begChr m:val="["/>
            <m:endChr m:val="]"/>
            <m:grow/>
          </m:dPr>
          <m:e>
            <m:acc>
              <m:accPr>
                <m:chr m:val="̂"/>
              </m:accPr>
              <m:e>
                <m:r>
                  <m:t>D</m:t>
                </m:r>
              </m:e>
            </m:acc>
            <m:r>
              <m:rPr>
                <m:sty m:val="p"/>
              </m:rPr>
              <m:t>,</m:t>
            </m:r>
            <m:acc>
              <m:accPr>
                <m:chr m:val="̂"/>
              </m:accPr>
              <m:e>
                <m:r>
                  <m:t>P</m:t>
                </m:r>
              </m:e>
            </m:acc>
          </m:e>
        </m:d>
        <m:r>
          <m:rPr>
            <m:sty m:val="p"/>
          </m:rPr>
          <m:t>=</m:t>
        </m:r>
        <m:r>
          <m:t>0</m:t>
        </m:r>
      </m:oMath>
      <w:r>
        <w:t xml:space="preserve"> </w:t>
      </w:r>
      <w:r>
        <w:t xml:space="preserve">(Else et al., 2017). If the prethermal state of</w:t>
      </w:r>
      <w:r>
        <w:t xml:space="preserve"> </w:t>
      </w:r>
      <m:oMath>
        <m:acc>
          <m:accPr>
            <m:chr m:val="̂"/>
          </m:accPr>
          <m:e>
            <m:r>
              <m:t>D</m:t>
            </m:r>
          </m:e>
        </m:acc>
      </m:oMath>
      <w:r>
        <w:t xml:space="preserve"> </w:t>
      </w:r>
      <w:r>
        <w:t xml:space="preserve">spontaneously breaks this symmetry, the system shows period doubling. This requires a finite-temperature ordered phase, and the oscillation persists up to the exponentially long heating time rather than strictly forever.</w:t>
      </w:r>
    </w:p>
    <w:p>
      <w:pPr>
        <w:pStyle w:val="BodyText"/>
      </w:pPr>
      <w:r>
        <w:t xml:space="preserve">Additionally, precise engineering of the drive protocol can strongly suppress thermalization. At special drive parameters, two-tone drive protocols manifest exactly flat Floquet bands and thereby suppress heating (Banerjee et al., 2025). More generally, the leading-order Floquet Hamiltonian can acquire emergent conservation laws at special drive amplitudes and frequencies, which constrains the dynamics and produces long-lived nonthermal behavior.</w:t>
      </w:r>
    </w:p>
    <w:p>
      <w:pPr>
        <w:pStyle w:val="BodyText"/>
      </w:pPr>
      <w:r>
        <w:t xml:space="preserve">A further approach is to consider an integrable system whose dynamics are constrained by an extensive set of conserved quantities. Such a system relaxes to a generalized Gibbs ensemble rather than to infinite temperature. Under appropriate conditions, integrability can then support persistent oscillations. These arise when the dynamics admits a dynamical symmetry, an operator</w:t>
      </w:r>
      <w:r>
        <w:t xml:space="preserve"> </w:t>
      </w:r>
      <m:oMath>
        <m:acc>
          <m:accPr>
            <m:chr m:val="̂"/>
          </m:accPr>
          <m:e>
            <m:r>
              <m:t>A</m:t>
            </m:r>
          </m:e>
        </m:acc>
      </m:oMath>
      <w:r>
        <w:t xml:space="preserve"> </w:t>
      </w:r>
      <w:r>
        <w:t xml:space="preserve">satisfying</w:t>
      </w:r>
      <w:r>
        <w:t xml:space="preserve"> </w:t>
      </w:r>
      <m:oMath>
        <m:sSubSup>
          <m:e>
            <m:acc>
              <m:accPr>
                <m:chr m:val="̂"/>
              </m:accPr>
              <m:e>
                <m:r>
                  <m:t>U</m:t>
                </m:r>
              </m:e>
            </m:acc>
          </m:e>
          <m:sub>
            <m:r>
              <m:t>F</m:t>
            </m:r>
          </m:sub>
          <m:sup>
            <m:r>
              <m:rPr>
                <m:sty m:val="p"/>
              </m:rPr>
              <m:t>†</m:t>
            </m:r>
          </m:sup>
        </m:sSubSup>
        <m:acc>
          <m:accPr>
            <m:chr m:val="̂"/>
          </m:accPr>
          <m:e>
            <m:r>
              <m:t>A</m:t>
            </m:r>
          </m:e>
        </m:acc>
        <m:r>
          <m:t> </m:t>
        </m:r>
        <m:sSub>
          <m:e>
            <m:acc>
              <m:accPr>
                <m:chr m:val="̂"/>
              </m:accPr>
              <m:e>
                <m:r>
                  <m:t>U</m:t>
                </m:r>
              </m:e>
            </m:acc>
          </m:e>
          <m:sub>
            <m:r>
              <m:t>F</m:t>
            </m:r>
          </m:sub>
        </m:sSub>
        <m:r>
          <m:rPr>
            <m:sty m:val="p"/>
          </m:rPr>
          <m:t>=</m:t>
        </m:r>
        <m:sSup>
          <m:e>
            <m:r>
              <m:t>e</m:t>
            </m:r>
          </m:e>
          <m:sup>
            <m:r>
              <m:t>i</m:t>
            </m:r>
            <m:r>
              <m:t>θ</m:t>
            </m:r>
          </m:sup>
        </m:sSup>
        <m:acc>
          <m:accPr>
            <m:chr m:val="̂"/>
          </m:accPr>
          <m:e>
            <m:r>
              <m:t>A</m:t>
            </m:r>
          </m:e>
        </m:acc>
      </m:oMath>
      <w:r>
        <w:t xml:space="preserve">, for which</w:t>
      </w:r>
      <w:r>
        <w:t xml:space="preserve"> </w:t>
      </w:r>
      <m:oMath>
        <m:r>
          <m:t>θ</m:t>
        </m:r>
        <m:r>
          <m:rPr>
            <m:sty m:val="p"/>
          </m:rPr>
          <m:t>=</m:t>
        </m:r>
        <m:r>
          <m:t>π</m:t>
        </m:r>
      </m:oMath>
      <w:r>
        <w:t xml:space="preserve"> </w:t>
      </w:r>
      <w:r>
        <w:t xml:space="preserve">gives period doubling. In isolated Hamiltonian systems, the analogous condition</w:t>
      </w:r>
      <w:r>
        <w:t xml:space="preserve"> </w:t>
      </w:r>
      <m:oMath>
        <m:d>
          <m:dPr>
            <m:begChr m:val="["/>
            <m:endChr m:val="]"/>
            <m:grow/>
          </m:dPr>
          <m:e>
            <m:acc>
              <m:accPr>
                <m:chr m:val="̂"/>
              </m:accPr>
              <m:e>
                <m:r>
                  <m:t>H</m:t>
                </m:r>
              </m:e>
            </m:acc>
            <m:r>
              <m:rPr>
                <m:sty m:val="p"/>
              </m:rPr>
              <m:t>,</m:t>
            </m:r>
            <m:acc>
              <m:accPr>
                <m:chr m:val="̂"/>
              </m:accPr>
              <m:e>
                <m:r>
                  <m:t>A</m:t>
                </m:r>
              </m:e>
            </m:acc>
          </m:e>
        </m:d>
        <m:r>
          <m:rPr>
            <m:sty m:val="p"/>
          </m:rPr>
          <m:t>=</m:t>
        </m:r>
        <m:r>
          <m:t>ω</m:t>
        </m:r>
        <m:acc>
          <m:accPr>
            <m:chr m:val="̂"/>
          </m:accPr>
          <m:e>
            <m:r>
              <m:t>A</m:t>
            </m:r>
          </m:e>
        </m:acc>
      </m:oMath>
      <w:r>
        <w:t xml:space="preserve"> </w:t>
      </w:r>
      <w:r>
        <w:t xml:space="preserve">sustains undamped oscillations (Buča et al., 2019; Medenjak et al., 2020). For the kicked Ising chain of Sec. II B at perfect</w:t>
      </w:r>
      <w:r>
        <w:t xml:space="preserve"> </w:t>
      </w:r>
      <m:oMath>
        <m:r>
          <m:t>π</m:t>
        </m:r>
      </m:oMath>
      <w:r>
        <w:t xml:space="preserve"> </w:t>
      </w:r>
      <w:r>
        <w:t xml:space="preserve">pulses,</w:t>
      </w:r>
      <w:r>
        <w:t xml:space="preserve"> </w:t>
      </w:r>
      <m:oMath>
        <m:acc>
          <m:accPr>
            <m:chr m:val="̂"/>
          </m:accPr>
          <m:e>
            <m:r>
              <m:t>A</m:t>
            </m:r>
          </m:e>
        </m:acc>
        <m:r>
          <m:rPr>
            <m:sty m:val="p"/>
          </m:rPr>
          <m:t>=</m:t>
        </m:r>
        <m:sSubSup>
          <m:e>
            <m:acc>
              <m:accPr>
                <m:chr m:val="̂"/>
              </m:accPr>
              <m:e>
                <m:r>
                  <m:t>σ</m:t>
                </m:r>
              </m:e>
            </m:acc>
          </m:e>
          <m:sub>
            <m:r>
              <m:t>j</m:t>
            </m:r>
          </m:sub>
          <m:sup>
            <m:r>
              <m:t>z</m:t>
            </m:r>
          </m:sup>
        </m:sSubSup>
      </m:oMath>
      <w:r>
        <w:t xml:space="preserve"> </w:t>
      </w:r>
      <w:r>
        <w:t xml:space="preserve">satisfies this condition with</w:t>
      </w:r>
      <w:r>
        <w:t xml:space="preserve"> </w:t>
      </w:r>
      <m:oMath>
        <m:r>
          <m:t>θ</m:t>
        </m:r>
        <m:r>
          <m:rPr>
            <m:sty m:val="p"/>
          </m:rPr>
          <m:t>=</m:t>
        </m:r>
        <m:r>
          <m:t>π</m:t>
        </m:r>
      </m:oMath>
      <w:r>
        <w:t xml:space="preserve"> </w:t>
      </w:r>
      <w:r>
        <w:t xml:space="preserve">on every site. Each of the mechanisms above can then be viewed as a way of ensuring that a dressed version of</w:t>
      </w:r>
      <w:r>
        <w:t xml:space="preserve"> </w:t>
      </w:r>
      <m:oMath>
        <m:sSubSup>
          <m:e>
            <m:acc>
              <m:accPr>
                <m:chr m:val="̂"/>
              </m:accPr>
              <m:e>
                <m:r>
                  <m:t>σ</m:t>
                </m:r>
              </m:e>
            </m:acc>
          </m:e>
          <m:sub>
            <m:r>
              <m:t>j</m:t>
            </m:r>
          </m:sub>
          <m:sup>
            <m:r>
              <m:t>z</m:t>
            </m:r>
          </m:sup>
        </m:sSubSup>
      </m:oMath>
      <w:r>
        <w:t xml:space="preserve"> </w:t>
      </w:r>
      <w:r>
        <w:t xml:space="preserve">survives pulse errors. We return to dynamical symmetries in Sec. III A.</w:t>
      </w:r>
    </w:p>
    <w:p>
      <w:pPr>
        <w:pStyle w:val="BodyText"/>
      </w:pPr>
      <w:r>
        <w:t xml:space="preserve">Section II B introduces the generic drive protocol for a discrete time crystal, shown schematically in Fig. 1, and reviews established results on the mechanisms that produce robust discrete time crystalline order.</w:t>
      </w:r>
    </w:p>
    <w:p>
      <w:pPr>
        <w:pStyle w:val="CaptionedFigure"/>
      </w:pPr>
      <w:r>
        <w:drawing>
          <wp:inline>
            <wp:extent cx="2519999" cy="1732988"/>
            <wp:effectExtent b="0" l="0" r="0" t="0"/>
            <wp:docPr descr="Figure 1. Schematic of the discrete time crystal drive protocol. The system evolves under two Hamiltonians, \hat{H}_1 and \hat{H}_2, for durations T_1 and T_2=T-T_1, respectively. The first step, \hat{H}_1=\frac{\pi}{2T_1}(1-\varepsilon_r)\sum_j\hat{\sigma}^x_j, implements an approximately global spin flip with spin-rotation error \varepsilon_r, while the second is generated by an interacting local or quasi-local Hamiltonian. Over a finite range of \varepsilon_r, the resulting stroboscopic magnetization exhibits a subharmonic response locked at period 2T." title="" id="22" name="Picture"/>
            <a:graphic>
              <a:graphicData uri="http://schemas.openxmlformats.org/drawingml/2006/picture">
                <pic:pic>
                  <pic:nvPicPr>
                    <pic:cNvPr descr="fig1.png" id="23" name="Picture"/>
                    <pic:cNvPicPr>
                      <a:picLocks noChangeArrowheads="1" noChangeAspect="1"/>
                    </pic:cNvPicPr>
                  </pic:nvPicPr>
                  <pic:blipFill>
                    <a:blip r:embed="rId21"/>
                    <a:stretch>
                      <a:fillRect/>
                    </a:stretch>
                  </pic:blipFill>
                  <pic:spPr bwMode="auto">
                    <a:xfrm>
                      <a:off x="0" y="0"/>
                      <a:ext cx="2519999" cy="1732988"/>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Schematic of the discrete time crystal drive protocol. The system evolves under two Hamiltonians,</w:t>
      </w:r>
      <w:r>
        <w:t xml:space="preserve"> </w:t>
      </w:r>
      <m:oMath>
        <m:sSub>
          <m:e>
            <m:acc>
              <m:accPr>
                <m:chr m:val="̂"/>
              </m:accPr>
              <m:e>
                <m:r>
                  <m:t>H</m:t>
                </m:r>
              </m:e>
            </m:acc>
          </m:e>
          <m:sub>
            <m:r>
              <m:t>1</m:t>
            </m:r>
          </m:sub>
        </m:sSub>
      </m:oMath>
      <w:r>
        <w:t xml:space="preserve"> </w:t>
      </w:r>
      <w:r>
        <w:t xml:space="preserve">and</w:t>
      </w:r>
      <w:r>
        <w:t xml:space="preserve"> </w:t>
      </w:r>
      <m:oMath>
        <m:sSub>
          <m:e>
            <m:acc>
              <m:accPr>
                <m:chr m:val="̂"/>
              </m:accPr>
              <m:e>
                <m:r>
                  <m:t>H</m:t>
                </m:r>
              </m:e>
            </m:acc>
          </m:e>
          <m:sub>
            <m:r>
              <m:t>2</m:t>
            </m:r>
          </m:sub>
        </m:sSub>
      </m:oMath>
      <w:r>
        <w:t xml:space="preserve">, for durations</w:t>
      </w:r>
      <w:r>
        <w:t xml:space="preserve"> </w:t>
      </w:r>
      <m:oMath>
        <m:sSub>
          <m:e>
            <m:r>
              <m:t>T</m:t>
            </m:r>
          </m:e>
          <m:sub>
            <m:r>
              <m:t>1</m:t>
            </m:r>
          </m:sub>
        </m:sSub>
      </m:oMath>
      <w:r>
        <w:t xml:space="preserve"> </w:t>
      </w:r>
      <w:r>
        <w:t xml:space="preserve">and</w:t>
      </w:r>
      <w:r>
        <w:t xml:space="preserve"> </w:t>
      </w:r>
      <m:oMath>
        <m:sSub>
          <m:e>
            <m:r>
              <m:t>T</m:t>
            </m:r>
          </m:e>
          <m:sub>
            <m:r>
              <m:t>2</m:t>
            </m:r>
          </m:sub>
        </m:sSub>
        <m:r>
          <m:rPr>
            <m:sty m:val="p"/>
          </m:rPr>
          <m:t>=</m:t>
        </m:r>
        <m:r>
          <m:t>T</m:t>
        </m:r>
        <m:r>
          <m:rPr>
            <m:sty m:val="p"/>
          </m:rPr>
          <m:t>−</m:t>
        </m:r>
        <m:sSub>
          <m:e>
            <m:r>
              <m:t>T</m:t>
            </m:r>
          </m:e>
          <m:sub>
            <m:r>
              <m:t>1</m:t>
            </m:r>
          </m:sub>
        </m:sSub>
      </m:oMath>
      <w:r>
        <w:t xml:space="preserve">, respectively. The first step,</w:t>
      </w:r>
      <w:r>
        <w:t xml:space="preserve"> </w:t>
      </w:r>
      <m:oMath>
        <m:sSub>
          <m:e>
            <m:acc>
              <m:accPr>
                <m:chr m:val="̂"/>
              </m:accPr>
              <m:e>
                <m:r>
                  <m:t>H</m:t>
                </m:r>
              </m:e>
            </m:acc>
          </m:e>
          <m:sub>
            <m:r>
              <m:t>1</m:t>
            </m:r>
          </m:sub>
        </m:sSub>
        <m:r>
          <m:rPr>
            <m:sty m:val="p"/>
          </m:rPr>
          <m:t>=</m:t>
        </m:r>
        <m:f>
          <m:fPr>
            <m:type m:val="bar"/>
          </m:fPr>
          <m:num>
            <m:r>
              <m:t>π</m:t>
            </m:r>
          </m:num>
          <m:den>
            <m:r>
              <m:t>2</m:t>
            </m:r>
            <m:sSub>
              <m:e>
                <m:r>
                  <m:t>T</m:t>
                </m:r>
              </m:e>
              <m:sub>
                <m:r>
                  <m:t>1</m:t>
                </m:r>
              </m:sub>
            </m:sSub>
          </m:den>
        </m:f>
        <m:d>
          <m:dPr>
            <m:begChr m:val="("/>
            <m:endChr m:val=")"/>
            <m:grow/>
          </m:dPr>
          <m:e>
            <m:r>
              <m:t>1</m:t>
            </m:r>
            <m:r>
              <m:rPr>
                <m:sty m:val="p"/>
              </m:rPr>
              <m:t>−</m:t>
            </m:r>
            <m:sSub>
              <m:e>
                <m:r>
                  <m:t>ε</m:t>
                </m:r>
              </m:e>
              <m:sub>
                <m:r>
                  <m:t>r</m:t>
                </m:r>
              </m:sub>
            </m:sSub>
          </m:e>
        </m:d>
        <m:nary>
          <m:naryPr>
            <m:chr m:val="∑"/>
            <m:limLoc m:val="undOvr"/>
            <m:subHide m:val="off"/>
            <m:supHide m:val="on"/>
          </m:naryPr>
          <m:sub>
            <m:r>
              <m:t>j</m:t>
            </m:r>
          </m:sub>
          <m:sup>
            <m:r>
              <m:t>​</m:t>
            </m:r>
          </m:sup>
          <m:e>
            <m:sSubSup>
              <m:e>
                <m:acc>
                  <m:accPr>
                    <m:chr m:val="̂"/>
                  </m:accPr>
                  <m:e>
                    <m:r>
                      <m:t>σ</m:t>
                    </m:r>
                  </m:e>
                </m:acc>
              </m:e>
              <m:sub>
                <m:r>
                  <m:t>j</m:t>
                </m:r>
              </m:sub>
              <m:sup>
                <m:r>
                  <m:t>x</m:t>
                </m:r>
              </m:sup>
            </m:sSubSup>
          </m:e>
        </m:nary>
      </m:oMath>
      <w:r>
        <w:t xml:space="preserve">, implements an approximately global spin flip with spin-rotation error</w:t>
      </w:r>
      <w:r>
        <w:t xml:space="preserve"> </w:t>
      </w:r>
      <m:oMath>
        <m:sSub>
          <m:e>
            <m:r>
              <m:t>ε</m:t>
            </m:r>
          </m:e>
          <m:sub>
            <m:r>
              <m:t>r</m:t>
            </m:r>
          </m:sub>
        </m:sSub>
      </m:oMath>
      <w:r>
        <w:t xml:space="preserve">, while the second is generated by an interacting local or quasi-local Hamiltonian. Over a finite range of</w:t>
      </w:r>
      <w:r>
        <w:t xml:space="preserve"> </w:t>
      </w:r>
      <m:oMath>
        <m:sSub>
          <m:e>
            <m:r>
              <m:t>ε</m:t>
            </m:r>
          </m:e>
          <m:sub>
            <m:r>
              <m:t>r</m:t>
            </m:r>
          </m:sub>
        </m:sSub>
      </m:oMath>
      <w:r>
        <w:t xml:space="preserve">, the resulting stroboscopic magnetization exhibits a subharmonic response locked at period</w:t>
      </w:r>
      <w:r>
        <w:t xml:space="preserve"> </w:t>
      </w:r>
      <m:oMath>
        <m:r>
          <m:t>2</m:t>
        </m:r>
        <m:r>
          <m:t>T</m:t>
        </m:r>
      </m:oMath>
      <w:r>
        <w:t xml:space="preserve">.</w:t>
      </w:r>
    </w:p>
    <w:bookmarkEnd w:id="24"/>
    <w:bookmarkStart w:id="28" w:name="X8174c3c4c80ad26011dd9e9be45df63a266c53f"/>
    <w:p>
      <w:pPr>
        <w:pStyle w:val="Heading2"/>
      </w:pPr>
      <w:r>
        <w:t xml:space="preserve">B. Drive protocols and stabilization mechanisms</w:t>
      </w:r>
    </w:p>
    <w:p>
      <w:pPr>
        <w:pStyle w:val="FirstParagraph"/>
      </w:pPr>
      <w:r>
        <w:t xml:space="preserve">The canonical protocol for realizing a discrete time crystal is based on a binary Floquet drive, shown schematically in Fig. 1. During each period, the system evolves under two Hamiltonians,</w:t>
      </w:r>
      <w:r>
        <w:t xml:space="preserve"> </w:t>
      </w:r>
      <m:oMath>
        <m:sSub>
          <m:e>
            <m:acc>
              <m:accPr>
                <m:chr m:val="̂"/>
              </m:accPr>
              <m:e>
                <m:r>
                  <m:t>H</m:t>
                </m:r>
              </m:e>
            </m:acc>
          </m:e>
          <m:sub>
            <m:r>
              <m:t>1</m:t>
            </m:r>
          </m:sub>
        </m:sSub>
      </m:oMath>
      <w:r>
        <w:t xml:space="preserve"> </w:t>
      </w:r>
      <w:r>
        <w:t xml:space="preserve">and</w:t>
      </w:r>
      <w:r>
        <w:t xml:space="preserve"> </w:t>
      </w:r>
      <m:oMath>
        <m:sSub>
          <m:e>
            <m:acc>
              <m:accPr>
                <m:chr m:val="̂"/>
              </m:accPr>
              <m:e>
                <m:r>
                  <m:t>H</m:t>
                </m:r>
              </m:e>
            </m:acc>
          </m:e>
          <m:sub>
            <m:r>
              <m:t>2</m:t>
            </m:r>
          </m:sub>
        </m:sSub>
      </m:oMath>
      <w:r>
        <w:t xml:space="preserve">, for durations</w:t>
      </w:r>
      <w:r>
        <w:t xml:space="preserve"> </w:t>
      </w:r>
      <m:oMath>
        <m:sSub>
          <m:e>
            <m:r>
              <m:t>T</m:t>
            </m:r>
          </m:e>
          <m:sub>
            <m:r>
              <m:t>1</m:t>
            </m:r>
          </m:sub>
        </m:sSub>
      </m:oMath>
      <w:r>
        <w:t xml:space="preserve"> </w:t>
      </w:r>
      <w:r>
        <w:t xml:space="preserve">and</w:t>
      </w:r>
      <w:r>
        <w:t xml:space="preserve"> </w:t>
      </w:r>
      <m:oMath>
        <m:sSub>
          <m:e>
            <m:r>
              <m:t>T</m:t>
            </m:r>
          </m:e>
          <m:sub>
            <m:r>
              <m:t>2</m:t>
            </m:r>
          </m:sub>
        </m:sSub>
        <m:r>
          <m:rPr>
            <m:sty m:val="p"/>
          </m:rPr>
          <m:t>=</m:t>
        </m:r>
        <m:r>
          <m:t>T</m:t>
        </m:r>
        <m:r>
          <m:rPr>
            <m:sty m:val="p"/>
          </m:rPr>
          <m:t>−</m:t>
        </m:r>
        <m:sSub>
          <m:e>
            <m:r>
              <m:t>T</m:t>
            </m:r>
          </m:e>
          <m:sub>
            <m:r>
              <m:t>1</m:t>
            </m:r>
          </m:sub>
        </m:sSub>
      </m:oMath>
      <w:r>
        <w:t xml:space="preserve">, respectively. Defining</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3533"/>
        <w:gridCol w:w="620"/>
      </w:tblGrid>
      <w:tr>
        <w:trPr>
          <w:cantSplit/>
        </w:trPr>
        <w:tc>
          <w:tcPr>
            <w:tcW w:w="3533" w:type="dxa"/>
            <w:vAlign w:val="center"/>
          </w:tcPr>
          <w:p>
            <w:pPr>
              <w:spacing w:before="60" w:after="60" w:line="300" w:lineRule="auto"/>
              <w:jc w:val="center"/>
            </w:pPr>
            <m:oMathPara>
              <m:oMathParaPr>
                <m:jc m:val="center"/>
              </m:oMathParaPr>
              <m:oMath>
                <m:sSub>
                  <m:e>
                    <m:acc>
                      <m:accPr>
                        <m:chr m:val="̂"/>
                      </m:accPr>
                      <m:e>
                        <m:r>
                          <m:t>U</m:t>
                        </m:r>
                      </m:e>
                    </m:acc>
                  </m:e>
                  <m:sub>
                    <m:r>
                      <m:t>1</m:t>
                    </m:r>
                  </m:sub>
                </m:sSub>
                <m:r>
                  <m:rPr>
                    <m:sty m:val="p"/>
                  </m:rPr>
                  <m:t>=</m:t>
                </m:r>
                <m:sSup>
                  <m:e>
                    <m:r>
                      <m:t>e</m:t>
                    </m:r>
                  </m:e>
                  <m:sup>
                    <m:r>
                      <m:rPr>
                        <m:sty m:val="p"/>
                      </m:rPr>
                      <m:t>−</m:t>
                    </m:r>
                    <m:r>
                      <m:t>i</m:t>
                    </m:r>
                    <m:sSub>
                      <m:e>
                        <m:acc>
                          <m:accPr>
                            <m:chr m:val="̂"/>
                          </m:accPr>
                          <m:e>
                            <m:r>
                              <m:t>H</m:t>
                            </m:r>
                          </m:e>
                        </m:acc>
                      </m:e>
                      <m:sub>
                        <m:r>
                          <m:t>1</m:t>
                        </m:r>
                      </m:sub>
                    </m:sSub>
                    <m:sSub>
                      <m:e>
                        <m:r>
                          <m:t>T</m:t>
                        </m:r>
                      </m:e>
                      <m:sub>
                        <m:r>
                          <m:t>1</m:t>
                        </m:r>
                      </m:sub>
                    </m:sSub>
                  </m:sup>
                </m:sSup>
                <m:r>
                  <m:rPr>
                    <m:sty m:val="p"/>
                  </m:rPr>
                  <m:t>,</m:t>
                </m:r>
                <m:r>
                  <m:rPr>
                    <m:nor/>
                  </m:rPr>
                  <m:t xml:space="preserve">  </m:t>
                </m:r>
                <m:sSub>
                  <m:e>
                    <m:acc>
                      <m:accPr>
                        <m:chr m:val="̂"/>
                      </m:accPr>
                      <m:e>
                        <m:r>
                          <m:t>U</m:t>
                        </m:r>
                      </m:e>
                    </m:acc>
                  </m:e>
                  <m:sub>
                    <m:r>
                      <m:t>2</m:t>
                    </m:r>
                  </m:sub>
                </m:sSub>
                <m:r>
                  <m:rPr>
                    <m:sty m:val="p"/>
                  </m:rPr>
                  <m:t>=</m:t>
                </m:r>
                <m:sSup>
                  <m:e>
                    <m:r>
                      <m:t>e</m:t>
                    </m:r>
                  </m:e>
                  <m:sup>
                    <m:r>
                      <m:rPr>
                        <m:sty m:val="p"/>
                      </m:rPr>
                      <m:t>−</m:t>
                    </m:r>
                    <m:r>
                      <m:t>i</m:t>
                    </m:r>
                    <m:sSub>
                      <m:e>
                        <m:acc>
                          <m:accPr>
                            <m:chr m:val="̂"/>
                          </m:accPr>
                          <m:e>
                            <m:r>
                              <m:t>H</m:t>
                            </m:r>
                          </m:e>
                        </m:acc>
                      </m:e>
                      <m:sub>
                        <m:r>
                          <m:t>2</m:t>
                        </m:r>
                      </m:sub>
                    </m:sSub>
                    <m:sSub>
                      <m:e>
                        <m:r>
                          <m:t>T</m:t>
                        </m:r>
                      </m:e>
                      <m:sub>
                        <m:r>
                          <m:t>2</m:t>
                        </m:r>
                      </m:sub>
                    </m:sSub>
                  </m:sup>
                </m:sSup>
                <m:r>
                  <m:rPr>
                    <m:sty m:val="p"/>
                  </m:rPr>
                  <m:t>,</m:t>
                </m:r>
              </m:oMath>
            </m:oMathPara>
          </w:p>
        </w:tc>
        <w:tc>
          <w:tcPr>
            <w:tcW w:w="620" w:type="dxa"/>
            <w:vAlign w:val="center"/>
          </w:tcPr>
          <w:p>
            <w:pPr>
              <w:spacing w:before="40" w:after="40" w:line="300" w:lineRule="auto"/>
              <w:jc w:val="right"/>
            </w:pPr>
            <w:r>
              <w:t>(4)</w:t>
            </w:r>
          </w:p>
        </w:tc>
      </w:tr>
    </w:tbl>
    <w:p>
      <w:pPr>
        <w:pStyle w:val="FirstParagraph"/>
      </w:pPr>
      <w:r>
        <w:t xml:space="preserve">the one-period Floquet operator is</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3533"/>
        <w:gridCol w:w="620"/>
      </w:tblGrid>
      <w:tr>
        <w:trPr>
          <w:cantSplit/>
        </w:trPr>
        <w:tc>
          <w:tcPr>
            <w:tcW w:w="3533" w:type="dxa"/>
            <w:vAlign w:val="center"/>
          </w:tcPr>
          <w:p>
            <w:pPr>
              <w:spacing w:before="60" w:after="60" w:line="300" w:lineRule="auto"/>
              <w:jc w:val="center"/>
            </w:pPr>
            <m:oMathPara>
              <m:oMathParaPr>
                <m:jc m:val="center"/>
              </m:oMathParaPr>
              <m:oMath>
                <m:sSub>
                  <m:e>
                    <m:acc>
                      <m:accPr>
                        <m:chr m:val="̂"/>
                      </m:accPr>
                      <m:e>
                        <m:r>
                          <m:t>U</m:t>
                        </m:r>
                      </m:e>
                    </m:acc>
                  </m:e>
                  <m:sub>
                    <m:r>
                      <m:t>F</m:t>
                    </m:r>
                  </m:sub>
                </m:sSub>
                <m:r>
                  <m:rPr>
                    <m:sty m:val="p"/>
                  </m:rPr>
                  <m:t>=</m:t>
                </m:r>
                <m:sSub>
                  <m:e>
                    <m:acc>
                      <m:accPr>
                        <m:chr m:val="̂"/>
                      </m:accPr>
                      <m:e>
                        <m:r>
                          <m:t>U</m:t>
                        </m:r>
                      </m:e>
                    </m:acc>
                  </m:e>
                  <m:sub>
                    <m:r>
                      <m:t>2</m:t>
                    </m:r>
                  </m:sub>
                </m:sSub>
                <m:sSub>
                  <m:e>
                    <m:acc>
                      <m:accPr>
                        <m:chr m:val="̂"/>
                      </m:accPr>
                      <m:e>
                        <m:r>
                          <m:t>U</m:t>
                        </m:r>
                      </m:e>
                    </m:acc>
                  </m:e>
                  <m:sub>
                    <m:r>
                      <m:t>1</m:t>
                    </m:r>
                  </m:sub>
                </m:sSub>
                <m:r>
                  <m:rPr>
                    <m:sty m:val="p"/>
                  </m:rPr>
                  <m:t>=</m:t>
                </m:r>
                <m:sSup>
                  <m:e>
                    <m:r>
                      <m:t>e</m:t>
                    </m:r>
                  </m:e>
                  <m:sup>
                    <m:r>
                      <m:rPr>
                        <m:sty m:val="p"/>
                      </m:rPr>
                      <m:t>−</m:t>
                    </m:r>
                    <m:r>
                      <m:t>i</m:t>
                    </m:r>
                    <m:sSub>
                      <m:e>
                        <m:acc>
                          <m:accPr>
                            <m:chr m:val="̂"/>
                          </m:accPr>
                          <m:e>
                            <m:r>
                              <m:t>H</m:t>
                            </m:r>
                          </m:e>
                        </m:acc>
                      </m:e>
                      <m:sub>
                        <m:r>
                          <m:t>2</m:t>
                        </m:r>
                      </m:sub>
                    </m:sSub>
                    <m:sSub>
                      <m:e>
                        <m:r>
                          <m:t>T</m:t>
                        </m:r>
                      </m:e>
                      <m:sub>
                        <m:r>
                          <m:t>2</m:t>
                        </m:r>
                      </m:sub>
                    </m:sSub>
                  </m:sup>
                </m:sSup>
                <m:r>
                  <m:t> </m:t>
                </m:r>
                <m:sSup>
                  <m:e>
                    <m:r>
                      <m:t>e</m:t>
                    </m:r>
                  </m:e>
                  <m:sup>
                    <m:r>
                      <m:rPr>
                        <m:sty m:val="p"/>
                      </m:rPr>
                      <m:t>−</m:t>
                    </m:r>
                    <m:r>
                      <m:t>i</m:t>
                    </m:r>
                    <m:sSub>
                      <m:e>
                        <m:acc>
                          <m:accPr>
                            <m:chr m:val="̂"/>
                          </m:accPr>
                          <m:e>
                            <m:r>
                              <m:t>H</m:t>
                            </m:r>
                          </m:e>
                        </m:acc>
                      </m:e>
                      <m:sub>
                        <m:r>
                          <m:t>1</m:t>
                        </m:r>
                      </m:sub>
                    </m:sSub>
                    <m:sSub>
                      <m:e>
                        <m:r>
                          <m:t>T</m:t>
                        </m:r>
                      </m:e>
                      <m:sub>
                        <m:r>
                          <m:t>1</m:t>
                        </m:r>
                      </m:sub>
                    </m:sSub>
                  </m:sup>
                </m:sSup>
                <m:r>
                  <m:rPr>
                    <m:nor/>
                  </m:rPr>
                  <m:t>.</m:t>
                </m:r>
              </m:oMath>
            </m:oMathPara>
          </w:p>
        </w:tc>
        <w:tc>
          <w:tcPr>
            <w:tcW w:w="620" w:type="dxa"/>
            <w:vAlign w:val="center"/>
          </w:tcPr>
          <w:p>
            <w:pPr>
              <w:spacing w:before="40" w:after="40" w:line="300" w:lineRule="auto"/>
              <w:jc w:val="right"/>
            </w:pPr>
            <w:r>
              <w:t>(5)</w:t>
            </w:r>
          </w:p>
        </w:tc>
      </w:tr>
    </w:tbl>
    <w:p>
      <w:pPr>
        <w:pStyle w:val="FirstParagraph"/>
      </w:pPr>
      <w:r>
        <w:t xml:space="preserve">The first step is chosen to implement an approximately global spin flip, while the second is generated by an interacting local or quasi-local Hamiltonian. For a spin-1/2 chain, a representative choice is (Yao et al., 2017)</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550"/>
        <w:gridCol w:w="2983"/>
        <w:gridCol w:w="620"/>
      </w:tblGrid>
      <w:tr>
        <w:trPr>
          <w:cantSplit/>
        </w:trPr>
        <w:tc>
          <w:tcPr>
            <w:tcW w:w="550" w:type="dxa"/>
            <w:vAlign w:val="center"/>
          </w:tcPr>
          <w:p>
            <w:pPr>
              <w:keepNext/>
              <w:spacing w:before="60" w:after="0" w:line="300" w:lineRule="auto"/>
              <w:jc w:val="right"/>
            </w:pPr>
            <m:oMathPara>
              <m:oMathParaPr>
                <m:jc m:val="right"/>
              </m:oMathParaPr>
              <m:oMath>
                <m:sSub>
                  <m:e>
                    <m:acc>
                      <m:accPr>
                        <m:chr m:val="̂"/>
                      </m:accPr>
                      <m:e>
                        <m:r>
                          <m:t>H</m:t>
                        </m:r>
                      </m:e>
                    </m:acc>
                  </m:e>
                  <m:sub>
                    <m:r>
                      <m:t>1</m:t>
                    </m:r>
                  </m:sub>
                </m:sSub>
              </m:oMath>
            </m:oMathPara>
          </w:p>
        </w:tc>
        <w:tc>
          <w:tcPr>
            <w:tcW w:w="2983" w:type="dxa"/>
            <w:vAlign w:val="center"/>
          </w:tcPr>
          <w:p>
            <w:pPr>
              <w:keepNext/>
              <w:spacing w:before="60" w:after="0" w:line="300" w:lineRule="auto"/>
              <w:jc w:val="left"/>
            </w:pPr>
            <m:oMathPara>
              <m:oMathParaPr>
                <m:jc m:val="left"/>
              </m:oMathParaPr>
              <m:oMath>
                <m:r>
                  <m:rPr>
                    <m:nor/>
                  </m:rPr>
                  <m:t>=</m:t>
                </m:r>
                <m:r>
                  <m:t>g</m:t>
                </m:r>
                <m:nary>
                  <m:naryPr>
                    <m:chr m:val="∑"/>
                    <m:limLoc m:val="undOvr"/>
                    <m:subHide m:val="off"/>
                    <m:supHide m:val="on"/>
                  </m:naryPr>
                  <m:sub>
                    <m:r>
                      <m:t>i</m:t>
                    </m:r>
                  </m:sub>
                  <m:sup>
                    <m:r>
                      <m:t>​</m:t>
                    </m:r>
                  </m:sup>
                  <m:e>
                    <m:sSubSup>
                      <m:e>
                        <m:acc>
                          <m:accPr>
                            <m:chr m:val="̂"/>
                          </m:accPr>
                          <m:e>
                            <m:r>
                              <m:t>σ</m:t>
                            </m:r>
                          </m:e>
                        </m:acc>
                      </m:e>
                      <m:sub>
                        <m:r>
                          <m:t>i</m:t>
                        </m:r>
                      </m:sub>
                      <m:sup>
                        <m:r>
                          <m:t>x</m:t>
                        </m:r>
                      </m:sup>
                    </m:sSubSup>
                  </m:e>
                </m:nary>
                <m:r>
                  <m:rPr>
                    <m:sty m:val="p"/>
                  </m:rPr>
                  <m:t>,</m:t>
                </m:r>
              </m:oMath>
            </m:oMathPara>
          </w:p>
        </w:tc>
        <w:tc>
          <w:tcPr>
            <w:tcW w:w="620" w:type="dxa"/>
            <w:vMerge w:val="restart"/>
            <w:vAlign w:val="center"/>
          </w:tcPr>
          <w:p>
            <w:pPr>
              <w:keepNext/>
              <w:spacing w:before="40" w:after="40" w:line="300" w:lineRule="auto"/>
              <w:jc w:val="right"/>
            </w:pPr>
            <w:r>
              <w:t>(6)</w:t>
            </w:r>
          </w:p>
        </w:tc>
      </w:tr>
      <w:tr>
        <w:trPr>
          <w:cantSplit/>
        </w:trPr>
        <w:tc>
          <w:tcPr>
            <w:tcW w:w="550" w:type="dxa"/>
            <w:vAlign w:val="center"/>
          </w:tcPr>
          <w:p>
            <w:pPr>
              <w:spacing w:before="0" w:after="60" w:line="300" w:lineRule="auto"/>
              <w:jc w:val="right"/>
            </w:pPr>
            <m:oMathPara>
              <m:oMathParaPr>
                <m:jc m:val="right"/>
              </m:oMathParaPr>
              <m:oMath>
                <m:sSub>
                  <m:e>
                    <m:acc>
                      <m:accPr>
                        <m:chr m:val="̂"/>
                      </m:accPr>
                      <m:e>
                        <m:r>
                          <m:t>H</m:t>
                        </m:r>
                      </m:e>
                    </m:acc>
                  </m:e>
                  <m:sub>
                    <m:r>
                      <m:t>2</m:t>
                    </m:r>
                  </m:sub>
                </m:sSub>
              </m:oMath>
            </m:oMathPara>
          </w:p>
        </w:tc>
        <w:tc>
          <w:tcPr>
            <w:tcW w:w="2983" w:type="dxa"/>
            <w:vAlign w:val="center"/>
          </w:tcPr>
          <w:p>
            <w:pPr>
              <w:spacing w:before="0" w:after="60" w:line="300" w:lineRule="auto"/>
              <w:jc w:val="left"/>
            </w:pPr>
            <m:oMathPara>
              <m:oMathParaPr>
                <m:jc m:val="left"/>
              </m:oMathParaPr>
              <m:oMath>
                <m:r>
                  <m:rPr>
                    <m:nor/>
                  </m:rPr>
                  <m:t>=</m:t>
                </m:r>
                <m:nary>
                  <m:naryPr>
                    <m:chr m:val="∑"/>
                    <m:limLoc m:val="undOvr"/>
                    <m:subHide m:val="off"/>
                    <m:supHide m:val="on"/>
                  </m:naryPr>
                  <m:sub>
                    <m:r>
                      <m:t>i</m:t>
                    </m:r>
                  </m:sub>
                  <m:sup>
                    <m:r>
                      <m:t>​</m:t>
                    </m:r>
                  </m:sup>
                  <m:e>
                    <m:d>
                      <m:dPr>
                        <m:begChr m:val="("/>
                        <m:endChr m:val=")"/>
                        <m:grow/>
                      </m:dPr>
                      <m:e>
                        <m:sSub>
                          <m:e>
                            <m:r>
                              <m:t>J</m:t>
                            </m:r>
                          </m:e>
                          <m:sub>
                            <m:r>
                              <m:t>i</m:t>
                            </m:r>
                          </m:sub>
                        </m:sSub>
                        <m:sSubSup>
                          <m:e>
                            <m:acc>
                              <m:accPr>
                                <m:chr m:val="̂"/>
                              </m:accPr>
                              <m:e>
                                <m:r>
                                  <m:t>σ</m:t>
                                </m:r>
                              </m:e>
                            </m:acc>
                          </m:e>
                          <m:sub>
                            <m:r>
                              <m:t>i</m:t>
                            </m:r>
                          </m:sub>
                          <m:sup>
                            <m:r>
                              <m:t>z</m:t>
                            </m:r>
                          </m:sup>
                        </m:sSubSup>
                        <m:sSubSup>
                          <m:e>
                            <m:acc>
                              <m:accPr>
                                <m:chr m:val="̂"/>
                              </m:accPr>
                              <m:e>
                                <m:r>
                                  <m:t>σ</m:t>
                                </m:r>
                              </m:e>
                            </m:acc>
                          </m:e>
                          <m:sub>
                            <m:r>
                              <m:t>i</m:t>
                            </m:r>
                            <m:r>
                              <m:rPr>
                                <m:sty m:val="p"/>
                              </m:rPr>
                              <m:t>+</m:t>
                            </m:r>
                            <m:r>
                              <m:t>1</m:t>
                            </m:r>
                          </m:sub>
                          <m:sup>
                            <m:r>
                              <m:t>z</m:t>
                            </m:r>
                          </m:sup>
                        </m:sSubSup>
                        <m:r>
                          <m:rPr>
                            <m:sty m:val="p"/>
                          </m:rPr>
                          <m:t>+</m:t>
                        </m:r>
                        <m:sSub>
                          <m:e>
                            <m:r>
                              <m:t>h</m:t>
                            </m:r>
                          </m:e>
                          <m:sub>
                            <m:r>
                              <m:t>i</m:t>
                            </m:r>
                          </m:sub>
                        </m:sSub>
                        <m:sSubSup>
                          <m:e>
                            <m:acc>
                              <m:accPr>
                                <m:chr m:val="̂"/>
                              </m:accPr>
                              <m:e>
                                <m:r>
                                  <m:t>σ</m:t>
                                </m:r>
                              </m:e>
                            </m:acc>
                          </m:e>
                          <m:sub>
                            <m:r>
                              <m:t>i</m:t>
                            </m:r>
                          </m:sub>
                          <m:sup>
                            <m:r>
                              <m:t>z</m:t>
                            </m:r>
                          </m:sup>
                        </m:sSubSup>
                      </m:e>
                    </m:d>
                  </m:e>
                </m:nary>
                <m:r>
                  <m:rPr>
                    <m:sty m:val="p"/>
                  </m:rPr>
                  <m:t>,</m:t>
                </m:r>
              </m:oMath>
            </m:oMathPara>
          </w:p>
        </w:tc>
        <w:tc>
          <w:tcPr>
            <w:tcW w:w="620" w:type="dxa"/>
            <w:vMerge/>
            <w:vAlign w:val="center"/>
          </w:tcPr>
          <w:p>
            <w:pPr>
              <w:spacing w:before="40" w:after="40" w:line="300" w:lineRule="auto"/>
              <w:jc w:val="right"/>
            </w:pPr>
          </w:p>
        </w:tc>
      </w:tr>
    </w:tbl>
    <w:p>
      <w:pPr>
        <w:pStyle w:val="FirstParagraph"/>
      </w:pPr>
      <w:r>
        <w:t xml:space="preserve">where</w:t>
      </w:r>
      <w:r>
        <w:t xml:space="preserve"> </w:t>
      </w:r>
      <m:oMath>
        <m:sSub>
          <m:e>
            <m:r>
              <m:t>J</m:t>
            </m:r>
          </m:e>
          <m:sub>
            <m:r>
              <m:t>i</m:t>
            </m:r>
          </m:sub>
        </m:sSub>
      </m:oMath>
      <w:r>
        <w:t xml:space="preserve"> </w:t>
      </w:r>
      <w:r>
        <w:t xml:space="preserve">and</w:t>
      </w:r>
      <w:r>
        <w:t xml:space="preserve"> </w:t>
      </w:r>
      <m:oMath>
        <m:sSub>
          <m:e>
            <m:r>
              <m:t>h</m:t>
            </m:r>
          </m:e>
          <m:sub>
            <m:r>
              <m:t>i</m:t>
            </m:r>
          </m:sub>
        </m:sSub>
      </m:oMath>
      <w:r>
        <w:t xml:space="preserve"> </w:t>
      </w:r>
      <w:r>
        <w:t xml:space="preserve">denote random couplings and longitudinal fields. In the limit</w:t>
      </w:r>
      <w:r>
        <w:t xml:space="preserve"> </w:t>
      </w:r>
      <m:oMath>
        <m:sSub>
          <m:e>
            <m:r>
              <m:t>T</m:t>
            </m:r>
          </m:e>
          <m:sub>
            <m:r>
              <m:t>1</m:t>
            </m:r>
          </m:sub>
        </m:sSub>
        <m:r>
          <m:rPr>
            <m:sty m:val="p"/>
          </m:rPr>
          <m:t>→</m:t>
        </m:r>
        <m:r>
          <m:t>0</m:t>
        </m:r>
      </m:oMath>
      <w:r>
        <w:t xml:space="preserve"> </w:t>
      </w:r>
      <w:r>
        <w:t xml:space="preserve">with</w:t>
      </w:r>
      <w:r>
        <w:t xml:space="preserve"> </w:t>
      </w:r>
      <m:oMath>
        <m:r>
          <m:t>g</m:t>
        </m:r>
        <m:sSub>
          <m:e>
            <m:r>
              <m:t>T</m:t>
            </m:r>
          </m:e>
          <m:sub>
            <m:r>
              <m:t>1</m:t>
            </m:r>
          </m:sub>
        </m:sSub>
      </m:oMath>
      <w:r>
        <w:t xml:space="preserve"> </w:t>
      </w:r>
      <w:r>
        <w:t xml:space="preserve">fixed, the first step becomes an instantaneous kick, and the protocol is known as the kicked Ising chain. Experimentally, the global spin flip is implemented by a nominal</w:t>
      </w:r>
      <w:r>
        <w:t xml:space="preserve"> </w:t>
      </w:r>
      <m:oMath>
        <m:r>
          <m:t>π</m:t>
        </m:r>
      </m:oMath>
      <w:r>
        <w:t xml:space="preserve"> </w:t>
      </w:r>
      <w:r>
        <w:t xml:space="preserve">pulse, which is generally imperfect. We parametrize the pulse imperfection by</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3533"/>
        <w:gridCol w:w="620"/>
      </w:tblGrid>
      <w:tr>
        <w:trPr>
          <w:cantSplit/>
        </w:trPr>
        <w:tc>
          <w:tcPr>
            <w:tcW w:w="3533" w:type="dxa"/>
            <w:vAlign w:val="center"/>
          </w:tcPr>
          <w:p>
            <w:pPr>
              <w:spacing w:before="60" w:after="60" w:line="300" w:lineRule="auto"/>
              <w:jc w:val="center"/>
            </w:pPr>
            <m:oMathPara>
              <m:oMathParaPr>
                <m:jc m:val="center"/>
              </m:oMathParaPr>
              <m:oMath>
                <m:r>
                  <m:t>g</m:t>
                </m:r>
                <m:r>
                  <m:rPr>
                    <m:sty m:val="p"/>
                  </m:rPr>
                  <m:t>=</m:t>
                </m:r>
                <m:f>
                  <m:fPr>
                    <m:type m:val="bar"/>
                  </m:fPr>
                  <m:num>
                    <m:r>
                      <m:t>π</m:t>
                    </m:r>
                  </m:num>
                  <m:den>
                    <m:r>
                      <m:t>2</m:t>
                    </m:r>
                    <m:sSub>
                      <m:e>
                        <m:r>
                          <m:t>T</m:t>
                        </m:r>
                      </m:e>
                      <m:sub>
                        <m:r>
                          <m:t>1</m:t>
                        </m:r>
                      </m:sub>
                    </m:sSub>
                  </m:den>
                </m:f>
                <m:d>
                  <m:dPr>
                    <m:begChr m:val="("/>
                    <m:endChr m:val=")"/>
                    <m:grow/>
                  </m:dPr>
                  <m:e>
                    <m:r>
                      <m:t>1</m:t>
                    </m:r>
                    <m:r>
                      <m:rPr>
                        <m:sty m:val="p"/>
                      </m:rPr>
                      <m:t>−</m:t>
                    </m:r>
                    <m:sSub>
                      <m:e>
                        <m:r>
                          <m:t>ε</m:t>
                        </m:r>
                      </m:e>
                      <m:sub>
                        <m:r>
                          <m:t>r</m:t>
                        </m:r>
                      </m:sub>
                    </m:sSub>
                  </m:e>
                </m:d>
                <m:r>
                  <m:rPr>
                    <m:sty m:val="p"/>
                  </m:rPr>
                  <m:t>,</m:t>
                </m:r>
              </m:oMath>
            </m:oMathPara>
          </w:p>
        </w:tc>
        <w:tc>
          <w:tcPr>
            <w:tcW w:w="620" w:type="dxa"/>
            <w:vAlign w:val="center"/>
          </w:tcPr>
          <w:p>
            <w:pPr>
              <w:spacing w:before="40" w:after="40" w:line="300" w:lineRule="auto"/>
              <w:jc w:val="right"/>
            </w:pPr>
            <w:r>
              <w:t>(7)</w:t>
            </w:r>
          </w:p>
        </w:tc>
      </w:tr>
    </w:tbl>
    <w:p>
      <w:pPr>
        <w:pStyle w:val="FirstParagraph"/>
      </w:pPr>
      <w:r>
        <w:t xml:space="preserve">so that</w:t>
      </w:r>
      <w:r>
        <w:t xml:space="preserve"> </w:t>
      </w:r>
      <m:oMath>
        <m:sSub>
          <m:e>
            <m:acc>
              <m:accPr>
                <m:chr m:val="̂"/>
              </m:accPr>
              <m:e>
                <m:r>
                  <m:t>U</m:t>
                </m:r>
              </m:e>
            </m:acc>
          </m:e>
          <m:sub>
            <m:r>
              <m:t>1</m:t>
            </m:r>
          </m:sub>
        </m:sSub>
      </m:oMath>
      <w:r>
        <w:t xml:space="preserve"> </w:t>
      </w:r>
      <w:r>
        <w:t xml:space="preserve">rotates every spin about the</w:t>
      </w:r>
      <w:r>
        <w:t xml:space="preserve"> </w:t>
      </w:r>
      <m:oMath>
        <m:r>
          <m:t>x</m:t>
        </m:r>
      </m:oMath>
      <w:r>
        <w:t xml:space="preserve"> </w:t>
      </w:r>
      <w:r>
        <w:t xml:space="preserve">axis by the angle</w:t>
      </w:r>
      <w:r>
        <w:t xml:space="preserve"> </w:t>
      </w:r>
      <m:oMath>
        <m:r>
          <m:t>π</m:t>
        </m:r>
        <m:d>
          <m:dPr>
            <m:begChr m:val="("/>
            <m:endChr m:val=")"/>
            <m:grow/>
          </m:dPr>
          <m:e>
            <m:r>
              <m:t>1</m:t>
            </m:r>
            <m:r>
              <m:rPr>
                <m:sty m:val="p"/>
              </m:rPr>
              <m:t>−</m:t>
            </m:r>
            <m:sSub>
              <m:e>
                <m:r>
                  <m:t>ε</m:t>
                </m:r>
              </m:e>
              <m:sub>
                <m:r>
                  <m:t>r</m:t>
                </m:r>
              </m:sub>
            </m:sSub>
          </m:e>
        </m:d>
      </m:oMath>
      <w:r>
        <w:t xml:space="preserve">. The spin rotation error</w:t>
      </w:r>
      <w:r>
        <w:t xml:space="preserve"> </w:t>
      </w:r>
      <m:oMath>
        <m:sSub>
          <m:e>
            <m:r>
              <m:t>ε</m:t>
            </m:r>
          </m:e>
          <m:sub>
            <m:r>
              <m:t>r</m:t>
            </m:r>
          </m:sub>
        </m:sSub>
      </m:oMath>
      <w:r>
        <w:t xml:space="preserve"> </w:t>
      </w:r>
      <w:r>
        <w:t xml:space="preserve">vanishes for ideal pulses.</w:t>
      </w:r>
    </w:p>
    <w:p>
      <w:pPr>
        <w:pStyle w:val="BodyText"/>
      </w:pPr>
      <w:r>
        <w:t xml:space="preserve">For an ideal pulse,</w:t>
      </w:r>
      <w:r>
        <w:t xml:space="preserve"> </w:t>
      </w:r>
      <m:oMath>
        <m:sSub>
          <m:e>
            <m:r>
              <m:t>ε</m:t>
            </m:r>
          </m:e>
          <m:sub>
            <m:r>
              <m:t>r</m:t>
            </m:r>
          </m:sub>
        </m:sSub>
        <m:r>
          <m:rPr>
            <m:sty m:val="p"/>
          </m:rPr>
          <m:t>=</m:t>
        </m:r>
        <m:r>
          <m:t>0</m:t>
        </m:r>
      </m:oMath>
      <w:r>
        <w:t xml:space="preserve">, the first step reduces to</w:t>
      </w:r>
      <w:r>
        <w:t xml:space="preserve"> </w:t>
      </w:r>
      <m:oMath>
        <m:sSub>
          <m:e>
            <m:acc>
              <m:accPr>
                <m:chr m:val="̂"/>
              </m:accPr>
              <m:e>
                <m:r>
                  <m:t>U</m:t>
                </m:r>
              </m:e>
            </m:acc>
          </m:e>
          <m:sub>
            <m:r>
              <m:t>1</m:t>
            </m:r>
          </m:sub>
        </m:sSub>
        <m:r>
          <m:rPr>
            <m:sty m:val="p"/>
          </m:rPr>
          <m:t>=</m:t>
        </m:r>
        <m:sSup>
          <m:e>
            <m:d>
              <m:dPr>
                <m:begChr m:val="("/>
                <m:endChr m:val=")"/>
                <m:grow/>
              </m:dPr>
              <m:e>
                <m:r>
                  <m:rPr>
                    <m:sty m:val="p"/>
                  </m:rPr>
                  <m:t>−</m:t>
                </m:r>
                <m:r>
                  <m:t>i</m:t>
                </m:r>
              </m:e>
            </m:d>
          </m:e>
          <m:sup>
            <m:r>
              <m:t>N</m:t>
            </m:r>
          </m:sup>
        </m:sSup>
        <m:acc>
          <m:accPr>
            <m:chr m:val="̂"/>
          </m:accPr>
          <m:e>
            <m:r>
              <m:t>P</m:t>
            </m:r>
          </m:e>
        </m:acc>
      </m:oMath>
      <w:r>
        <w:t xml:space="preserve"> </w:t>
      </w:r>
      <w:r>
        <w:t xml:space="preserve">with</w:t>
      </w:r>
      <w:r>
        <w:t xml:space="preserve"> </w:t>
      </w:r>
      <m:oMath>
        <m:acc>
          <m:accPr>
            <m:chr m:val="̂"/>
          </m:accPr>
          <m:e>
            <m:r>
              <m:t>P</m:t>
            </m:r>
          </m:e>
        </m:acc>
        <m:r>
          <m:rPr>
            <m:sty m:val="p"/>
          </m:rPr>
          <m:t>=</m:t>
        </m:r>
        <m:nary>
          <m:naryPr>
            <m:chr m:val="∏"/>
            <m:limLoc m:val="undOvr"/>
            <m:subHide m:val="off"/>
            <m:supHide m:val="on"/>
          </m:naryPr>
          <m:sub>
            <m:r>
              <m:t>i</m:t>
            </m:r>
          </m:sub>
          <m:sup>
            <m:r>
              <m:t>​</m:t>
            </m:r>
          </m:sup>
          <m:e>
            <m:sSubSup>
              <m:e>
                <m:acc>
                  <m:accPr>
                    <m:chr m:val="̂"/>
                  </m:accPr>
                  <m:e>
                    <m:r>
                      <m:t>σ</m:t>
                    </m:r>
                  </m:e>
                </m:acc>
              </m:e>
              <m:sub>
                <m:r>
                  <m:t>i</m:t>
                </m:r>
              </m:sub>
              <m:sup>
                <m:r>
                  <m:t>x</m:t>
                </m:r>
              </m:sup>
            </m:sSubSup>
          </m:e>
        </m:nary>
      </m:oMath>
      <w:r>
        <w:t xml:space="preserve">, and flips every spin,</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1775"/>
        <w:gridCol w:w="1758"/>
        <w:gridCol w:w="620"/>
      </w:tblGrid>
      <w:tr>
        <w:trPr>
          <w:cantSplit/>
        </w:trPr>
        <w:tc>
          <w:tcPr>
            <w:tcW w:w="1775" w:type="dxa"/>
            <w:vAlign w:val="center"/>
          </w:tcPr>
          <w:p>
            <w:pPr>
              <w:keepNext/>
              <w:spacing w:before="60" w:after="0" w:line="300" w:lineRule="auto"/>
              <w:jc w:val="right"/>
            </w:pPr>
            <m:oMathPara>
              <m:oMathParaPr>
                <m:jc m:val="right"/>
              </m:oMathParaPr>
              <m:oMath>
                <m:sSubSup>
                  <m:e>
                    <m:acc>
                      <m:accPr>
                        <m:chr m:val="̂"/>
                      </m:accPr>
                      <m:e>
                        <m:r>
                          <m:t>U</m:t>
                        </m:r>
                      </m:e>
                    </m:acc>
                  </m:e>
                  <m:sub>
                    <m:r>
                      <m:t>1</m:t>
                    </m:r>
                  </m:sub>
                  <m:sup>
                    <m:r>
                      <m:rPr>
                        <m:sty m:val="p"/>
                      </m:rPr>
                      <m:t>†</m:t>
                    </m:r>
                  </m:sup>
                </m:sSubSup>
                <m:sSubSup>
                  <m:e>
                    <m:acc>
                      <m:accPr>
                        <m:chr m:val="̂"/>
                      </m:accPr>
                      <m:e>
                        <m:r>
                          <m:t>σ</m:t>
                        </m:r>
                      </m:e>
                    </m:acc>
                  </m:e>
                  <m:sub>
                    <m:r>
                      <m:t>i</m:t>
                    </m:r>
                  </m:sub>
                  <m:sup>
                    <m:r>
                      <m:t>z</m:t>
                    </m:r>
                  </m:sup>
                </m:sSubSup>
                <m:sSub>
                  <m:e>
                    <m:acc>
                      <m:accPr>
                        <m:chr m:val="̂"/>
                      </m:accPr>
                      <m:e>
                        <m:r>
                          <m:t>U</m:t>
                        </m:r>
                      </m:e>
                    </m:acc>
                  </m:e>
                  <m:sub>
                    <m:r>
                      <m:t>1</m:t>
                    </m:r>
                  </m:sub>
                </m:sSub>
              </m:oMath>
            </m:oMathPara>
          </w:p>
        </w:tc>
        <w:tc>
          <w:tcPr>
            <w:tcW w:w="1758" w:type="dxa"/>
            <w:vAlign w:val="center"/>
          </w:tcPr>
          <w:p>
            <w:pPr>
              <w:keepNext/>
              <w:spacing w:before="60" w:after="0" w:line="300" w:lineRule="auto"/>
              <w:jc w:val="left"/>
            </w:pPr>
            <m:oMathPara>
              <m:oMathParaPr>
                <m:jc m:val="left"/>
              </m:oMathParaPr>
              <m:oMath>
                <m:r>
                  <m:rPr>
                    <m:nor/>
                  </m:rPr>
                  <m:t>=</m:t>
                </m:r>
                <m:r>
                  <m:rPr>
                    <m:sty m:val="p"/>
                  </m:rPr>
                  <m:t>−</m:t>
                </m:r>
                <m:sSubSup>
                  <m:e>
                    <m:acc>
                      <m:accPr>
                        <m:chr m:val="̂"/>
                      </m:accPr>
                      <m:e>
                        <m:r>
                          <m:t>σ</m:t>
                        </m:r>
                      </m:e>
                    </m:acc>
                  </m:e>
                  <m:sub>
                    <m:r>
                      <m:t>i</m:t>
                    </m:r>
                  </m:sub>
                  <m:sup>
                    <m:r>
                      <m:t>z</m:t>
                    </m:r>
                  </m:sup>
                </m:sSubSup>
                <m:r>
                  <m:rPr>
                    <m:sty m:val="p"/>
                  </m:rPr>
                  <m:t>,</m:t>
                </m:r>
              </m:oMath>
            </m:oMathPara>
          </w:p>
        </w:tc>
        <w:tc>
          <w:tcPr>
            <w:tcW w:w="620" w:type="dxa"/>
            <w:vMerge w:val="restart"/>
            <w:vAlign w:val="center"/>
          </w:tcPr>
          <w:p>
            <w:pPr>
              <w:keepNext/>
              <w:spacing w:before="40" w:after="40" w:line="300" w:lineRule="auto"/>
              <w:jc w:val="right"/>
            </w:pPr>
            <w:r>
              <w:t>(8)</w:t>
            </w:r>
          </w:p>
        </w:tc>
      </w:tr>
      <w:tr>
        <w:trPr>
          <w:cantSplit/>
        </w:trPr>
        <w:tc>
          <w:tcPr>
            <w:tcW w:w="1775" w:type="dxa"/>
            <w:vAlign w:val="center"/>
          </w:tcPr>
          <w:p>
            <w:pPr>
              <w:spacing w:before="0" w:after="60" w:line="300" w:lineRule="auto"/>
              <w:jc w:val="right"/>
            </w:pPr>
            <m:oMathPara>
              <m:oMathParaPr>
                <m:jc m:val="right"/>
              </m:oMathParaPr>
              <m:oMath>
                <m:sSubSup>
                  <m:e>
                    <m:acc>
                      <m:accPr>
                        <m:chr m:val="̂"/>
                      </m:accPr>
                      <m:e>
                        <m:r>
                          <m:t>U</m:t>
                        </m:r>
                      </m:e>
                    </m:acc>
                  </m:e>
                  <m:sub>
                    <m:r>
                      <m:t>1</m:t>
                    </m:r>
                  </m:sub>
                  <m:sup>
                    <m:r>
                      <m:rPr>
                        <m:sty m:val="p"/>
                      </m:rPr>
                      <m:t>†</m:t>
                    </m:r>
                  </m:sup>
                </m:sSubSup>
                <m:d>
                  <m:dPr>
                    <m:begChr m:val="("/>
                    <m:endChr m:val=")"/>
                    <m:grow/>
                  </m:dPr>
                  <m:e>
                    <m:nary>
                      <m:naryPr>
                        <m:chr m:val="∑"/>
                        <m:limLoc m:val="undOvr"/>
                        <m:subHide m:val="off"/>
                        <m:supHide m:val="on"/>
                      </m:naryPr>
                      <m:sub>
                        <m:r>
                          <m:t>i</m:t>
                        </m:r>
                      </m:sub>
                      <m:sup>
                        <m:r>
                          <m:t>​</m:t>
                        </m:r>
                      </m:sup>
                      <m:e>
                        <m:sSubSup>
                          <m:e>
                            <m:acc>
                              <m:accPr>
                                <m:chr m:val="̂"/>
                              </m:accPr>
                              <m:e>
                                <m:r>
                                  <m:t>σ</m:t>
                                </m:r>
                              </m:e>
                            </m:acc>
                          </m:e>
                          <m:sub>
                            <m:r>
                              <m:t>i</m:t>
                            </m:r>
                          </m:sub>
                          <m:sup>
                            <m:r>
                              <m:t>z</m:t>
                            </m:r>
                          </m:sup>
                        </m:sSubSup>
                      </m:e>
                    </m:nary>
                  </m:e>
                </m:d>
                <m:sSub>
                  <m:e>
                    <m:acc>
                      <m:accPr>
                        <m:chr m:val="̂"/>
                      </m:accPr>
                      <m:e>
                        <m:r>
                          <m:t>U</m:t>
                        </m:r>
                      </m:e>
                    </m:acc>
                  </m:e>
                  <m:sub>
                    <m:r>
                      <m:t>1</m:t>
                    </m:r>
                  </m:sub>
                </m:sSub>
              </m:oMath>
            </m:oMathPara>
          </w:p>
        </w:tc>
        <w:tc>
          <w:tcPr>
            <w:tcW w:w="1758" w:type="dxa"/>
            <w:vAlign w:val="center"/>
          </w:tcPr>
          <w:p>
            <w:pPr>
              <w:spacing w:before="0" w:after="60" w:line="300" w:lineRule="auto"/>
              <w:jc w:val="left"/>
            </w:pPr>
            <m:oMathPara>
              <m:oMathParaPr>
                <m:jc m:val="left"/>
              </m:oMathParaPr>
              <m:oMath>
                <m:r>
                  <m:rPr>
                    <m:nor/>
                  </m:rPr>
                  <m:t>=</m:t>
                </m:r>
                <m:r>
                  <m:rPr>
                    <m:sty m:val="p"/>
                  </m:rPr>
                  <m:t>−</m:t>
                </m:r>
                <m:nary>
                  <m:naryPr>
                    <m:chr m:val="∑"/>
                    <m:limLoc m:val="undOvr"/>
                    <m:subHide m:val="off"/>
                    <m:supHide m:val="on"/>
                  </m:naryPr>
                  <m:sub>
                    <m:r>
                      <m:t>i</m:t>
                    </m:r>
                  </m:sub>
                  <m:sup>
                    <m:r>
                      <m:t>​</m:t>
                    </m:r>
                  </m:sup>
                  <m:e>
                    <m:sSubSup>
                      <m:e>
                        <m:acc>
                          <m:accPr>
                            <m:chr m:val="̂"/>
                          </m:accPr>
                          <m:e>
                            <m:r>
                              <m:t>σ</m:t>
                            </m:r>
                          </m:e>
                        </m:acc>
                      </m:e>
                      <m:sub>
                        <m:r>
                          <m:t>i</m:t>
                        </m:r>
                      </m:sub>
                      <m:sup>
                        <m:r>
                          <m:t>z</m:t>
                        </m:r>
                      </m:sup>
                    </m:sSubSup>
                  </m:e>
                </m:nary>
                <m:r>
                  <m:rPr>
                    <m:nor/>
                  </m:rPr>
                  <m:t>.</m:t>
                </m:r>
              </m:oMath>
            </m:oMathPara>
          </w:p>
        </w:tc>
        <w:tc>
          <w:tcPr>
            <w:tcW w:w="620" w:type="dxa"/>
            <w:vMerge/>
            <w:vAlign w:val="center"/>
          </w:tcPr>
          <w:p>
            <w:pPr>
              <w:spacing w:before="40" w:after="40" w:line="300" w:lineRule="auto"/>
              <w:jc w:val="right"/>
            </w:pPr>
          </w:p>
        </w:tc>
      </w:tr>
    </w:tbl>
    <w:p>
      <w:pPr>
        <w:pStyle w:val="FirstParagraph"/>
      </w:pPr>
      <w:r>
        <w:t xml:space="preserve">The stroboscopic magnetization is</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725"/>
        <w:gridCol w:w="2808"/>
        <w:gridCol w:w="620"/>
      </w:tblGrid>
      <w:tr>
        <w:trPr>
          <w:cantSplit/>
        </w:trPr>
        <w:tc>
          <w:tcPr>
            <w:tcW w:w="725" w:type="dxa"/>
            <w:vAlign w:val="center"/>
          </w:tcPr>
          <w:p>
            <w:pPr>
              <w:keepNext/>
              <w:spacing w:before="60" w:after="0" w:line="300" w:lineRule="auto"/>
              <w:jc w:val="right"/>
            </w:pPr>
            <m:oMathPara>
              <m:oMathParaPr>
                <m:jc m:val="right"/>
              </m:oMathParaPr>
              <m:oMath>
                <m:r>
                  <m:t>M</m:t>
                </m:r>
                <m:d>
                  <m:dPr>
                    <m:begChr m:val="("/>
                    <m:endChr m:val=")"/>
                    <m:grow/>
                  </m:dPr>
                  <m:e>
                    <m:r>
                      <m:t>n</m:t>
                    </m:r>
                    <m:r>
                      <m:t>T</m:t>
                    </m:r>
                  </m:e>
                </m:d>
              </m:oMath>
            </m:oMathPara>
          </w:p>
        </w:tc>
        <w:tc>
          <w:tcPr>
            <w:tcW w:w="2808" w:type="dxa"/>
            <w:vAlign w:val="center"/>
          </w:tcPr>
          <w:p>
            <w:pPr>
              <w:keepNext/>
              <w:spacing w:before="60" w:after="0" w:line="300" w:lineRule="auto"/>
              <w:jc w:val="left"/>
            </w:pPr>
            <m:oMathPara>
              <m:oMathParaPr>
                <m:jc m:val="left"/>
              </m:oMathParaPr>
              <m:oMath>
                <m:r>
                  <m:rPr>
                    <m:nor/>
                  </m:rPr>
                  <m:t>=</m:t>
                </m:r>
                <m:f>
                  <m:fPr>
                    <m:type m:val="bar"/>
                  </m:fPr>
                  <m:num>
                    <m:r>
                      <m:t>1</m:t>
                    </m:r>
                  </m:num>
                  <m:den>
                    <m:r>
                      <m:t>N</m:t>
                    </m:r>
                  </m:den>
                </m:f>
                <m:nary>
                  <m:naryPr>
                    <m:chr m:val="∑"/>
                    <m:limLoc m:val="undOvr"/>
                    <m:subHide m:val="off"/>
                    <m:supHide m:val="on"/>
                  </m:naryPr>
                  <m:sub>
                    <m:r>
                      <m:t>i</m:t>
                    </m:r>
                  </m:sub>
                  <m:sup>
                    <m:r>
                      <m:t>​</m:t>
                    </m:r>
                  </m:sup>
                  <m:e>
                    <m:r>
                      <m:rPr>
                        <m:sty m:val="p"/>
                      </m:rPr>
                      <m:t>⟨</m:t>
                    </m:r>
                  </m:e>
                </m:nary>
                <m:sSub>
                  <m:e>
                    <m:r>
                      <m:t>ψ</m:t>
                    </m:r>
                  </m:e>
                  <m:sub>
                    <m:r>
                      <m:t>0</m:t>
                    </m:r>
                  </m:sub>
                </m:sSub>
                <m:r>
                  <m:rPr>
                    <m:nor/>
                  </m:rPr>
                  <m:t>|</m:t>
                </m:r>
                <m:sSup>
                  <m:e>
                    <m:d>
                      <m:dPr>
                        <m:begChr m:val="("/>
                        <m:endChr m:val=")"/>
                        <m:grow/>
                      </m:dPr>
                      <m:e>
                        <m:sSubSup>
                          <m:e>
                            <m:acc>
                              <m:accPr>
                                <m:chr m:val="̂"/>
                              </m:accPr>
                              <m:e>
                                <m:r>
                                  <m:t>U</m:t>
                                </m:r>
                              </m:e>
                            </m:acc>
                          </m:e>
                          <m:sub>
                            <m:r>
                              <m:t>F</m:t>
                            </m:r>
                          </m:sub>
                          <m:sup>
                            <m:r>
                              <m:rPr>
                                <m:sty m:val="p"/>
                              </m:rPr>
                              <m:t>†</m:t>
                            </m:r>
                          </m:sup>
                        </m:sSubSup>
                      </m:e>
                    </m:d>
                  </m:e>
                  <m:sup>
                    <m:r>
                      <m:t>n</m:t>
                    </m:r>
                  </m:sup>
                </m:sSup>
              </m:oMath>
            </m:oMathPara>
          </w:p>
        </w:tc>
        <w:tc>
          <w:tcPr>
            <w:tcW w:w="620" w:type="dxa"/>
            <w:vMerge w:val="restart"/>
            <w:vAlign w:val="center"/>
          </w:tcPr>
          <w:p>
            <w:pPr>
              <w:keepNext/>
              <w:spacing w:before="40" w:after="40" w:line="300" w:lineRule="auto"/>
              <w:jc w:val="right"/>
            </w:pPr>
            <w:r>
              <w:t>(9)</w:t>
            </w:r>
          </w:p>
        </w:tc>
      </w:tr>
      <w:tr>
        <w:trPr>
          <w:cantSplit/>
        </w:trPr>
        <w:tc>
          <w:tcPr>
            <w:tcW w:w="725" w:type="dxa"/>
            <w:vAlign w:val="center"/>
          </w:tcPr>
          <w:p>
            <w:pPr>
              <w:spacing w:before="0" w:after="60" w:line="300" w:lineRule="auto"/>
              <w:jc w:val="right"/>
            </w:pPr>
          </w:p>
        </w:tc>
        <w:tc>
          <w:tcPr>
            <w:tcW w:w="2808" w:type="dxa"/>
            <w:vAlign w:val="center"/>
          </w:tcPr>
          <w:p>
            <w:pPr>
              <w:spacing w:before="0" w:after="60" w:line="300" w:lineRule="auto"/>
              <w:jc w:val="left"/>
            </w:pPr>
            <m:oMathPara>
              <m:oMathParaPr>
                <m:jc m:val="left"/>
              </m:oMathParaPr>
              <m:oMath>
                <m:r>
                  <m:rPr>
                    <m:nor/>
                  </m:rPr>
                  <m:t xml:space="preserve">  </m:t>
                </m:r>
                <m:sSubSup>
                  <m:e>
                    <m:acc>
                      <m:accPr>
                        <m:chr m:val="̂"/>
                      </m:accPr>
                      <m:e>
                        <m:r>
                          <m:t>σ</m:t>
                        </m:r>
                      </m:e>
                    </m:acc>
                  </m:e>
                  <m:sub>
                    <m:r>
                      <m:t>i</m:t>
                    </m:r>
                  </m:sub>
                  <m:sup>
                    <m:r>
                      <m:t>z</m:t>
                    </m:r>
                  </m:sup>
                </m:sSubSup>
                <m:r>
                  <m:t> </m:t>
                </m:r>
                <m:sSubSup>
                  <m:e>
                    <m:acc>
                      <m:accPr>
                        <m:chr m:val="̂"/>
                      </m:accPr>
                      <m:e>
                        <m:r>
                          <m:t>U</m:t>
                        </m:r>
                      </m:e>
                    </m:acc>
                  </m:e>
                  <m:sub>
                    <m:r>
                      <m:t>F</m:t>
                    </m:r>
                  </m:sub>
                  <m:sup>
                    <m:r>
                      <m:t>n</m:t>
                    </m:r>
                  </m:sup>
                </m:sSubSup>
                <m:r>
                  <m:rPr>
                    <m:nor/>
                  </m:rPr>
                  <m:t>|</m:t>
                </m:r>
                <m:sSub>
                  <m:e>
                    <m:r>
                      <m:t>ψ</m:t>
                    </m:r>
                  </m:e>
                  <m:sub>
                    <m:r>
                      <m:t>0</m:t>
                    </m:r>
                  </m:sub>
                </m:sSub>
                <m:r>
                  <m:rPr>
                    <m:sty m:val="p"/>
                  </m:rPr>
                  <m:t>⟩</m:t>
                </m:r>
                <m:r>
                  <m:rPr>
                    <m:nor/>
                  </m:rPr>
                  <m:t>.</m:t>
                </m:r>
              </m:oMath>
            </m:oMathPara>
          </w:p>
        </w:tc>
        <w:tc>
          <w:tcPr>
            <w:tcW w:w="620" w:type="dxa"/>
            <w:vMerge/>
            <w:vAlign w:val="center"/>
          </w:tcPr>
          <w:p>
            <w:pPr>
              <w:spacing w:before="40" w:after="40" w:line="300" w:lineRule="auto"/>
              <w:jc w:val="right"/>
            </w:pPr>
          </w:p>
        </w:tc>
      </w:tr>
    </w:tbl>
    <w:p>
      <w:pPr>
        <w:pStyle w:val="FirstParagraph"/>
      </w:pPr>
      <w:r>
        <w:t xml:space="preserve">Since</w:t>
      </w:r>
      <w:r>
        <w:t xml:space="preserve"> </w:t>
      </w:r>
      <m:oMath>
        <m:sSub>
          <m:e>
            <m:acc>
              <m:accPr>
                <m:chr m:val="̂"/>
              </m:accPr>
              <m:e>
                <m:r>
                  <m:t>H</m:t>
                </m:r>
              </m:e>
            </m:acc>
          </m:e>
          <m:sub>
            <m:r>
              <m:t>2</m:t>
            </m:r>
          </m:sub>
        </m:sSub>
      </m:oMath>
      <w:r>
        <w:t xml:space="preserve"> </w:t>
      </w:r>
      <w:r>
        <w:t xml:space="preserve">commutes with every</w:t>
      </w:r>
      <w:r>
        <w:t xml:space="preserve"> </w:t>
      </w:r>
      <m:oMath>
        <m:sSubSup>
          <m:e>
            <m:acc>
              <m:accPr>
                <m:chr m:val="̂"/>
              </m:accPr>
              <m:e>
                <m:r>
                  <m:t>σ</m:t>
                </m:r>
              </m:e>
            </m:acc>
          </m:e>
          <m:sub>
            <m:r>
              <m:t>i</m:t>
            </m:r>
          </m:sub>
          <m:sup>
            <m:r>
              <m:t>z</m:t>
            </m:r>
          </m:sup>
        </m:sSubSup>
      </m:oMath>
      <w:r>
        <w:t xml:space="preserve">, at</w:t>
      </w:r>
      <w:r>
        <w:t xml:space="preserve"> </w:t>
      </w:r>
      <m:oMath>
        <m:sSub>
          <m:e>
            <m:r>
              <m:t>ε</m:t>
            </m:r>
          </m:e>
          <m:sub>
            <m:r>
              <m:t>r</m:t>
            </m:r>
          </m:sub>
        </m:sSub>
        <m:r>
          <m:rPr>
            <m:sty m:val="p"/>
          </m:rPr>
          <m:t>=</m:t>
        </m:r>
        <m:r>
          <m:t>0</m:t>
        </m:r>
      </m:oMath>
      <w:r>
        <w:t xml:space="preserve"> </w:t>
      </w:r>
      <w:r>
        <w:t xml:space="preserve">we have</w:t>
      </w:r>
      <w:r>
        <w:t xml:space="preserve"> </w:t>
      </w:r>
      <m:oMath>
        <m:sSubSup>
          <m:e>
            <m:acc>
              <m:accPr>
                <m:chr m:val="̂"/>
              </m:accPr>
              <m:e>
                <m:r>
                  <m:t>U</m:t>
                </m:r>
              </m:e>
            </m:acc>
          </m:e>
          <m:sub>
            <m:r>
              <m:t>F</m:t>
            </m:r>
          </m:sub>
          <m:sup>
            <m:r>
              <m:rPr>
                <m:sty m:val="p"/>
              </m:rPr>
              <m:t>†</m:t>
            </m:r>
          </m:sup>
        </m:sSubSup>
        <m:sSubSup>
          <m:e>
            <m:acc>
              <m:accPr>
                <m:chr m:val="̂"/>
              </m:accPr>
              <m:e>
                <m:r>
                  <m:t>σ</m:t>
                </m:r>
              </m:e>
            </m:acc>
          </m:e>
          <m:sub>
            <m:r>
              <m:t>i</m:t>
            </m:r>
          </m:sub>
          <m:sup>
            <m:r>
              <m:t>z</m:t>
            </m:r>
          </m:sup>
        </m:sSubSup>
        <m:sSub>
          <m:e>
            <m:acc>
              <m:accPr>
                <m:chr m:val="̂"/>
              </m:accPr>
              <m:e>
                <m:r>
                  <m:t>U</m:t>
                </m:r>
              </m:e>
            </m:acc>
          </m:e>
          <m:sub>
            <m:r>
              <m:t>F</m:t>
            </m:r>
          </m:sub>
        </m:sSub>
        <m:r>
          <m:rPr>
            <m:sty m:val="p"/>
          </m:rPr>
          <m:t>=</m:t>
        </m:r>
        <m:r>
          <m:rPr>
            <m:sty m:val="p"/>
          </m:rPr>
          <m:t>−</m:t>
        </m:r>
        <m:sSubSup>
          <m:e>
            <m:acc>
              <m:accPr>
                <m:chr m:val="̂"/>
              </m:accPr>
              <m:e>
                <m:r>
                  <m:t>σ</m:t>
                </m:r>
              </m:e>
            </m:acc>
          </m:e>
          <m:sub>
            <m:r>
              <m:t>i</m:t>
            </m:r>
          </m:sub>
          <m:sup>
            <m:r>
              <m:t>z</m:t>
            </m:r>
          </m:sup>
        </m:sSubSup>
      </m:oMath>
      <w:r>
        <w:t xml:space="preserve">. This is precisely the dynamical symmetry with</w:t>
      </w:r>
      <w:r>
        <w:t xml:space="preserve"> </w:t>
      </w:r>
      <m:oMath>
        <m:r>
          <m:t>θ</m:t>
        </m:r>
        <m:r>
          <m:rPr>
            <m:sty m:val="p"/>
          </m:rPr>
          <m:t>=</m:t>
        </m:r>
        <m:r>
          <m:t>π</m:t>
        </m:r>
      </m:oMath>
      <w:r>
        <w:t xml:space="preserve"> </w:t>
      </w:r>
      <w:r>
        <w:t xml:space="preserve">introduced in Sec. II A and discussed further in Sec. III A. The magnetization therefore alternates between successive periods,</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1075"/>
        <w:gridCol w:w="2458"/>
        <w:gridCol w:w="620"/>
      </w:tblGrid>
      <w:tr>
        <w:trPr>
          <w:cantSplit/>
        </w:trPr>
        <w:tc>
          <w:tcPr>
            <w:tcW w:w="1075" w:type="dxa"/>
            <w:vAlign w:val="center"/>
          </w:tcPr>
          <w:p>
            <w:pPr>
              <w:keepNext/>
              <w:spacing w:before="60" w:after="0" w:line="300" w:lineRule="auto"/>
              <w:jc w:val="right"/>
            </w:pPr>
            <m:oMathPara>
              <m:oMathParaPr>
                <m:jc m:val="right"/>
              </m:oMathParaPr>
              <m:oMath>
                <m:r>
                  <m:t>M</m:t>
                </m:r>
                <m:d>
                  <m:dPr>
                    <m:begChr m:val="("/>
                    <m:endChr m:val=")"/>
                    <m:grow/>
                  </m:dPr>
                  <m:e>
                    <m:r>
                      <m:t>n</m:t>
                    </m:r>
                    <m:r>
                      <m:t>T</m:t>
                    </m:r>
                  </m:e>
                </m:d>
              </m:oMath>
            </m:oMathPara>
          </w:p>
        </w:tc>
        <w:tc>
          <w:tcPr>
            <w:tcW w:w="2458" w:type="dxa"/>
            <w:vAlign w:val="center"/>
          </w:tcPr>
          <w:p>
            <w:pPr>
              <w:keepNext/>
              <w:spacing w:before="60" w:after="0" w:line="300" w:lineRule="auto"/>
              <w:jc w:val="left"/>
            </w:pPr>
            <m:oMathPara>
              <m:oMathParaPr>
                <m:jc m:val="left"/>
              </m:oMathParaPr>
              <m:oMath>
                <m:r>
                  <m:rPr>
                    <m:nor/>
                  </m:rPr>
                  <m:t>=</m:t>
                </m:r>
                <m:sSup>
                  <m:e>
                    <m:d>
                      <m:dPr>
                        <m:begChr m:val="("/>
                        <m:endChr m:val=")"/>
                        <m:grow/>
                      </m:dPr>
                      <m:e>
                        <m:r>
                          <m:rPr>
                            <m:sty m:val="p"/>
                          </m:rPr>
                          <m:t>−</m:t>
                        </m:r>
                        <m:r>
                          <m:t>1</m:t>
                        </m:r>
                      </m:e>
                    </m:d>
                  </m:e>
                  <m:sup>
                    <m:r>
                      <m:t>n</m:t>
                    </m:r>
                  </m:sup>
                </m:sSup>
                <m:r>
                  <m:t>M</m:t>
                </m:r>
                <m:d>
                  <m:dPr>
                    <m:begChr m:val="("/>
                    <m:endChr m:val=")"/>
                    <m:grow/>
                  </m:dPr>
                  <m:e>
                    <m:r>
                      <m:t>0</m:t>
                    </m:r>
                  </m:e>
                </m:d>
                <m:r>
                  <m:rPr>
                    <m:sty m:val="p"/>
                  </m:rPr>
                  <m:t>,</m:t>
                </m:r>
              </m:oMath>
            </m:oMathPara>
          </w:p>
        </w:tc>
        <w:tc>
          <w:tcPr>
            <w:tcW w:w="620" w:type="dxa"/>
            <w:vMerge w:val="restart"/>
            <w:vAlign w:val="center"/>
          </w:tcPr>
          <w:p>
            <w:pPr>
              <w:keepNext/>
              <w:spacing w:before="40" w:after="40" w:line="300" w:lineRule="auto"/>
              <w:jc w:val="right"/>
            </w:pPr>
            <w:r>
              <w:t>(10)</w:t>
            </w:r>
          </w:p>
        </w:tc>
      </w:tr>
      <w:tr>
        <w:trPr>
          <w:cantSplit/>
        </w:trPr>
        <w:tc>
          <w:tcPr>
            <w:tcW w:w="1075" w:type="dxa"/>
            <w:vAlign w:val="center"/>
          </w:tcPr>
          <w:p>
            <w:pPr>
              <w:spacing w:before="0" w:after="60" w:line="300" w:lineRule="auto"/>
              <w:jc w:val="right"/>
            </w:pPr>
            <m:oMathPara>
              <m:oMathParaPr>
                <m:jc m:val="right"/>
              </m:oMathParaPr>
              <m:oMath>
                <m:r>
                  <m:t>M</m:t>
                </m:r>
                <m:d>
                  <m:dPr>
                    <m:begChr m:val="("/>
                    <m:endChr m:val=")"/>
                    <m:grow/>
                  </m:dPr>
                  <m:e>
                    <m:d>
                      <m:dPr>
                        <m:begChr m:val="("/>
                        <m:endChr m:val=")"/>
                        <m:grow/>
                      </m:dPr>
                      <m:e>
                        <m:r>
                          <m:t>n</m:t>
                        </m:r>
                        <m:r>
                          <m:rPr>
                            <m:sty m:val="p"/>
                          </m:rPr>
                          <m:t>+</m:t>
                        </m:r>
                        <m:r>
                          <m:t>2</m:t>
                        </m:r>
                      </m:e>
                    </m:d>
                    <m:r>
                      <m:t>T</m:t>
                    </m:r>
                  </m:e>
                </m:d>
              </m:oMath>
            </m:oMathPara>
          </w:p>
        </w:tc>
        <w:tc>
          <w:tcPr>
            <w:tcW w:w="2458" w:type="dxa"/>
            <w:vAlign w:val="center"/>
          </w:tcPr>
          <w:p>
            <w:pPr>
              <w:spacing w:before="0" w:after="60" w:line="300" w:lineRule="auto"/>
              <w:jc w:val="left"/>
            </w:pPr>
            <m:oMathPara>
              <m:oMathParaPr>
                <m:jc m:val="left"/>
              </m:oMathParaPr>
              <m:oMath>
                <m:r>
                  <m:rPr>
                    <m:nor/>
                  </m:rPr>
                  <m:t>=</m:t>
                </m:r>
                <m:r>
                  <m:t>M</m:t>
                </m:r>
                <m:d>
                  <m:dPr>
                    <m:begChr m:val="("/>
                    <m:endChr m:val=")"/>
                    <m:grow/>
                  </m:dPr>
                  <m:e>
                    <m:r>
                      <m:t>n</m:t>
                    </m:r>
                    <m:r>
                      <m:t>T</m:t>
                    </m:r>
                  </m:e>
                </m:d>
                <m:r>
                  <m:rPr>
                    <m:nor/>
                  </m:rPr>
                  <m:t>.</m:t>
                </m:r>
              </m:oMath>
            </m:oMathPara>
          </w:p>
        </w:tc>
        <w:tc>
          <w:tcPr>
            <w:tcW w:w="620" w:type="dxa"/>
            <w:vMerge/>
            <w:vAlign w:val="center"/>
          </w:tcPr>
          <w:p>
            <w:pPr>
              <w:spacing w:before="40" w:after="40" w:line="300" w:lineRule="auto"/>
              <w:jc w:val="right"/>
            </w:pPr>
          </w:p>
        </w:tc>
      </w:tr>
    </w:tbl>
    <w:p>
      <w:pPr>
        <w:pStyle w:val="FirstParagraph"/>
      </w:pPr>
      <w:r>
        <w:t xml:space="preserve">Thus, the observable responds with period</w:t>
      </w:r>
      <w:r>
        <w:t xml:space="preserve"> </w:t>
      </w:r>
      <m:oMath>
        <m:r>
          <m:t>2</m:t>
        </m:r>
        <m:r>
          <m:t>T</m:t>
        </m:r>
      </m:oMath>
      <w:r>
        <w:t xml:space="preserve">, rather than with the drive period</w:t>
      </w:r>
      <w:r>
        <w:t xml:space="preserve"> </w:t>
      </w:r>
      <m:oMath>
        <m:r>
          <m:t>T</m:t>
        </m:r>
      </m:oMath>
      <w:r>
        <w:t xml:space="preserve">, confirming the subharmonic response associated with discrete time translation symmetry breaking. At this fine tuned point, however, the period doubling is trivial, since it holds equally in the absence of interactions. In a genuine discrete time crystalline phase, the response must remain stable against perturbations and persist indefinitely in the thermodynamic limit.</w:t>
      </w:r>
    </w:p>
    <w:p>
      <w:pPr>
        <w:pStyle w:val="BodyText"/>
      </w:pPr>
      <w:r>
        <w:t xml:space="preserve">The defining feature of the discrete time crystalline phase is that the subharmonic response remains stable over a finite interval of</w:t>
      </w:r>
      <w:r>
        <w:t xml:space="preserve"> </w:t>
      </w:r>
      <m:oMath>
        <m:sSub>
          <m:e>
            <m:r>
              <m:t>ε</m:t>
            </m:r>
          </m:e>
          <m:sub>
            <m:r>
              <m:t>r</m:t>
            </m:r>
          </m:sub>
        </m:sSub>
      </m:oMath>
      <w:r>
        <w:t xml:space="preserve">, rather than occurring only at the fine-tuned value</w:t>
      </w:r>
      <w:r>
        <w:t xml:space="preserve"> </w:t>
      </w:r>
      <m:oMath>
        <m:sSub>
          <m:e>
            <m:r>
              <m:t>ε</m:t>
            </m:r>
          </m:e>
          <m:sub>
            <m:r>
              <m:t>r</m:t>
            </m:r>
          </m:sub>
        </m:sSub>
        <m:r>
          <m:rPr>
            <m:sty m:val="p"/>
          </m:rPr>
          <m:t>=</m:t>
        </m:r>
        <m:r>
          <m:t>0</m:t>
        </m:r>
      </m:oMath>
      <w:r>
        <w:t xml:space="preserve">. This robustness arises from the interacting dynamics during the</w:t>
      </w:r>
      <w:r>
        <w:t xml:space="preserve"> </w:t>
      </w:r>
      <m:oMath>
        <m:sSub>
          <m:e>
            <m:r>
              <m:t>T</m:t>
            </m:r>
          </m:e>
          <m:sub>
            <m:r>
              <m:t>2</m:t>
            </m:r>
          </m:sub>
        </m:sSub>
      </m:oMath>
      <w:r>
        <w:t xml:space="preserve"> </w:t>
      </w:r>
      <w:r>
        <w:t xml:space="preserve">interval, provided that heating is suppressed and the time crystalline order is preserved. Fig. 2 illustrates this at</w:t>
      </w:r>
      <w:r>
        <w:t xml:space="preserve"> </w:t>
      </w:r>
      <m:oMath>
        <m:sSub>
          <m:e>
            <m:r>
              <m:t>ε</m:t>
            </m:r>
          </m:e>
          <m:sub>
            <m:r>
              <m:t>r</m:t>
            </m:r>
          </m:sub>
        </m:sSub>
        <m:r>
          <m:rPr>
            <m:sty m:val="p"/>
          </m:rPr>
          <m:t>=</m:t>
        </m:r>
        <m:r>
          <m:t>0.1</m:t>
        </m:r>
      </m:oMath>
      <w:r>
        <w:t xml:space="preserve">. In the non-interacting limit,</w:t>
      </w:r>
      <w:r>
        <w:t xml:space="preserve"> </w:t>
      </w:r>
      <m:oMath>
        <m:sSub>
          <m:e>
            <m:r>
              <m:t>J</m:t>
            </m:r>
          </m:e>
          <m:sub>
            <m:r>
              <m:t>i</m:t>
            </m:r>
          </m:sub>
        </m:sSub>
        <m:r>
          <m:rPr>
            <m:sty m:val="p"/>
          </m:rPr>
          <m:t>=</m:t>
        </m:r>
        <m:r>
          <m:t>0</m:t>
        </m:r>
      </m:oMath>
      <w:r>
        <w:t xml:space="preserve"> </w:t>
      </w:r>
      <w:r>
        <w:t xml:space="preserve">(with</w:t>
      </w:r>
      <w:r>
        <w:t xml:space="preserve"> </w:t>
      </w:r>
      <m:oMath>
        <m:sSub>
          <m:e>
            <m:r>
              <m:t>h</m:t>
            </m:r>
          </m:e>
          <m:sub>
            <m:r>
              <m:t>i</m:t>
            </m:r>
          </m:sub>
        </m:sSub>
        <m:r>
          <m:rPr>
            <m:sty m:val="p"/>
          </m:rPr>
          <m:t>=</m:t>
        </m:r>
        <m:r>
          <m:t>0</m:t>
        </m:r>
      </m:oMath>
      <w:r>
        <w:t xml:space="preserve">), each spin simply rotates by</w:t>
      </w:r>
      <w:r>
        <w:t xml:space="preserve"> </w:t>
      </w:r>
      <m:oMath>
        <m:r>
          <m:t>π</m:t>
        </m:r>
        <m:d>
          <m:dPr>
            <m:begChr m:val="("/>
            <m:endChr m:val=")"/>
            <m:grow/>
          </m:dPr>
          <m:e>
            <m:r>
              <m:t>1</m:t>
            </m:r>
            <m:r>
              <m:rPr>
                <m:sty m:val="p"/>
              </m:rPr>
              <m:t>−</m:t>
            </m:r>
            <m:sSub>
              <m:e>
                <m:r>
                  <m:t>ε</m:t>
                </m:r>
              </m:e>
              <m:sub>
                <m:r>
                  <m:t>r</m:t>
                </m:r>
              </m:sub>
            </m:sSub>
          </m:e>
        </m:d>
      </m:oMath>
      <w:r>
        <w:t xml:space="preserve"> </w:t>
      </w:r>
      <w:r>
        <w:t xml:space="preserve">per period, and the Fourier peak of the magnetization shifts from</w:t>
      </w:r>
      <w:r>
        <w:t xml:space="preserve"> </w:t>
      </w:r>
      <m:oMath>
        <m:r>
          <m:t>ω</m:t>
        </m:r>
        <m:r>
          <m:rPr>
            <m:sty m:val="p"/>
          </m:rPr>
          <m:t>=</m:t>
        </m:r>
        <m:r>
          <m:t>π</m:t>
        </m:r>
        <m:r>
          <m:rPr>
            <m:sty m:val="p"/>
          </m:rPr>
          <m:t>/</m:t>
        </m:r>
        <m:r>
          <m:t>T</m:t>
        </m:r>
      </m:oMath>
      <w:r>
        <w:t xml:space="preserve"> </w:t>
      </w:r>
      <w:r>
        <w:t xml:space="preserve">to</w:t>
      </w:r>
      <w:r>
        <w:t xml:space="preserve"> </w:t>
      </w:r>
      <m:oMath>
        <m:r>
          <m:t>ω</m:t>
        </m:r>
        <m:r>
          <m:rPr>
            <m:sty m:val="p"/>
          </m:rPr>
          <m:t>=</m:t>
        </m:r>
        <m:r>
          <m:t>π</m:t>
        </m:r>
        <m:d>
          <m:dPr>
            <m:begChr m:val="("/>
            <m:endChr m:val=")"/>
            <m:grow/>
          </m:dPr>
          <m:e>
            <m:r>
              <m:t>1</m:t>
            </m:r>
            <m:r>
              <m:rPr>
                <m:sty m:val="p"/>
              </m:rPr>
              <m:t>−</m:t>
            </m:r>
            <m:sSub>
              <m:e>
                <m:r>
                  <m:t>ε</m:t>
                </m:r>
              </m:e>
              <m:sub>
                <m:r>
                  <m:t>r</m:t>
                </m:r>
              </m:sub>
            </m:sSub>
          </m:e>
        </m:d>
        <m:r>
          <m:rPr>
            <m:sty m:val="p"/>
          </m:rPr>
          <m:t>/</m:t>
        </m:r>
        <m:r>
          <m:t>T</m:t>
        </m:r>
      </m:oMath>
      <w:r>
        <w:t xml:space="preserve">. In the presence of interactions,</w:t>
      </w:r>
      <w:r>
        <w:t xml:space="preserve"> </w:t>
      </w:r>
      <m:oMath>
        <m:sSub>
          <m:e>
            <m:r>
              <m:t>J</m:t>
            </m:r>
          </m:e>
          <m:sub>
            <m:r>
              <m:t>i</m:t>
            </m:r>
          </m:sub>
        </m:sSub>
        <m:r>
          <m:rPr>
            <m:sty m:val="p"/>
          </m:rPr>
          <m:t>&gt;</m:t>
        </m:r>
        <m:r>
          <m:t>0</m:t>
        </m:r>
      </m:oMath>
      <w:r>
        <w:t xml:space="preserve">, the peak remains sharply locked at</w:t>
      </w:r>
      <w:r>
        <w:t xml:space="preserve"> </w:t>
      </w:r>
      <m:oMath>
        <m:r>
          <m:t>ω</m:t>
        </m:r>
        <m:r>
          <m:rPr>
            <m:sty m:val="p"/>
          </m:rPr>
          <m:t>=</m:t>
        </m:r>
        <m:r>
          <m:t>π</m:t>
        </m:r>
        <m:r>
          <m:rPr>
            <m:sty m:val="p"/>
          </m:rPr>
          <m:t>/</m:t>
        </m:r>
        <m:r>
          <m:t>T</m:t>
        </m:r>
      </m:oMath>
      <w:r>
        <w:t xml:space="preserve">. The interaction term thus counteracts the phase error introduced by the finite spin-rotation error</w:t>
      </w:r>
      <w:r>
        <w:t xml:space="preserve"> </w:t>
      </w:r>
      <m:oMath>
        <m:sSub>
          <m:e>
            <m:r>
              <m:t>ε</m:t>
            </m:r>
          </m:e>
          <m:sub>
            <m:r>
              <m:t>r</m:t>
            </m:r>
          </m:sub>
        </m:sSub>
      </m:oMath>
      <w:r>
        <w:t xml:space="preserve">. It is therefore crucial for both the emergence and the stabilization of the subharmonic response (Else et al., 2016; Khemani et al., 2016; Yao et al., 2017).</w:t>
      </w:r>
    </w:p>
    <w:p>
      <w:pPr>
        <w:pStyle w:val="CaptionedFigure"/>
      </w:pPr>
      <w:r>
        <w:drawing>
          <wp:inline>
            <wp:extent cx="2519999" cy="1984499"/>
            <wp:effectExtent b="0" l="0" r="0" t="0"/>
            <wp:docPr descr="Figure 2. (a) Stroboscopic magnetization M(nT), Eq. (9), at \varepsilon_r=0.1 for interacting (J_i&gt;0) and non-interacting (J_i=0) chains. The interacting chain shows period doubling locked at 2T, while the non-interacting chain shows beating. (b) Fourier spectrum of M(nT). With interactions the peak is pinned at \omega=\pi/T; without interactions it shifts to \omega=\pi(1-\varepsilon_r)/T." title="" id="26" name="Picture"/>
            <a:graphic>
              <a:graphicData uri="http://schemas.openxmlformats.org/drawingml/2006/picture">
                <pic:pic>
                  <pic:nvPicPr>
                    <pic:cNvPr descr="fig2.png" id="27" name="Picture"/>
                    <pic:cNvPicPr>
                      <a:picLocks noChangeArrowheads="1" noChangeAspect="1"/>
                    </pic:cNvPicPr>
                  </pic:nvPicPr>
                  <pic:blipFill>
                    <a:blip r:embed="rId25"/>
                    <a:stretch>
                      <a:fillRect/>
                    </a:stretch>
                  </pic:blipFill>
                  <pic:spPr bwMode="auto">
                    <a:xfrm>
                      <a:off x="0" y="0"/>
                      <a:ext cx="2519999" cy="1984499"/>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(a) Stroboscopic magnetization</w:t>
      </w:r>
      <w:r>
        <w:t xml:space="preserve"> </w:t>
      </w:r>
      <m:oMath>
        <m:r>
          <m:t>M</m:t>
        </m:r>
        <m:d>
          <m:dPr>
            <m:begChr m:val="("/>
            <m:endChr m:val=")"/>
            <m:grow/>
          </m:dPr>
          <m:e>
            <m:r>
              <m:t>n</m:t>
            </m:r>
            <m:r>
              <m:t>T</m:t>
            </m:r>
          </m:e>
        </m:d>
      </m:oMath>
      <w:r>
        <w:t xml:space="preserve">, Eq. (9), at</w:t>
      </w:r>
      <w:r>
        <w:t xml:space="preserve"> </w:t>
      </w:r>
      <m:oMath>
        <m:sSub>
          <m:e>
            <m:r>
              <m:t>ε</m:t>
            </m:r>
          </m:e>
          <m:sub>
            <m:r>
              <m:t>r</m:t>
            </m:r>
          </m:sub>
        </m:sSub>
        <m:r>
          <m:rPr>
            <m:sty m:val="p"/>
          </m:rPr>
          <m:t>=</m:t>
        </m:r>
        <m:r>
          <m:t>0.1</m:t>
        </m:r>
      </m:oMath>
      <w:r>
        <w:t xml:space="preserve"> </w:t>
      </w:r>
      <w:r>
        <w:t xml:space="preserve">for interacting (</w:t>
      </w:r>
      <m:oMath>
        <m:sSub>
          <m:e>
            <m:r>
              <m:t>J</m:t>
            </m:r>
          </m:e>
          <m:sub>
            <m:r>
              <m:t>i</m:t>
            </m:r>
          </m:sub>
        </m:sSub>
        <m:r>
          <m:rPr>
            <m:sty m:val="p"/>
          </m:rPr>
          <m:t>&gt;</m:t>
        </m:r>
        <m:r>
          <m:t>0</m:t>
        </m:r>
      </m:oMath>
      <w:r>
        <w:t xml:space="preserve">) and non-interacting (</w:t>
      </w:r>
      <m:oMath>
        <m:sSub>
          <m:e>
            <m:r>
              <m:t>J</m:t>
            </m:r>
          </m:e>
          <m:sub>
            <m:r>
              <m:t>i</m:t>
            </m:r>
          </m:sub>
        </m:sSub>
        <m:r>
          <m:rPr>
            <m:sty m:val="p"/>
          </m:rPr>
          <m:t>=</m:t>
        </m:r>
        <m:r>
          <m:t>0</m:t>
        </m:r>
      </m:oMath>
      <w:r>
        <w:t xml:space="preserve">) chains. The interacting chain shows period doubling locked at</w:t>
      </w:r>
      <w:r>
        <w:t xml:space="preserve"> </w:t>
      </w:r>
      <m:oMath>
        <m:r>
          <m:t>2</m:t>
        </m:r>
        <m:r>
          <m:t>T</m:t>
        </m:r>
      </m:oMath>
      <w:r>
        <w:t xml:space="preserve">, while the non-interacting chain shows beating. (b) Fourier spectrum of</w:t>
      </w:r>
      <w:r>
        <w:t xml:space="preserve"> </w:t>
      </w:r>
      <m:oMath>
        <m:r>
          <m:t>M</m:t>
        </m:r>
        <m:d>
          <m:dPr>
            <m:begChr m:val="("/>
            <m:endChr m:val=")"/>
            <m:grow/>
          </m:dPr>
          <m:e>
            <m:r>
              <m:t>n</m:t>
            </m:r>
            <m:r>
              <m:t>T</m:t>
            </m:r>
          </m:e>
        </m:d>
      </m:oMath>
      <w:r>
        <w:t xml:space="preserve">. With interactions the peak is pinned at</w:t>
      </w:r>
      <w:r>
        <w:t xml:space="preserve"> </w:t>
      </w:r>
      <m:oMath>
        <m:r>
          <m:t>ω</m:t>
        </m:r>
        <m:r>
          <m:rPr>
            <m:sty m:val="p"/>
          </m:rPr>
          <m:t>=</m:t>
        </m:r>
        <m:r>
          <m:t>π</m:t>
        </m:r>
        <m:r>
          <m:rPr>
            <m:sty m:val="p"/>
          </m:rPr>
          <m:t>/</m:t>
        </m:r>
        <m:r>
          <m:t>T</m:t>
        </m:r>
      </m:oMath>
      <w:r>
        <w:t xml:space="preserve">; without interactions it shifts to</w:t>
      </w:r>
      <w:r>
        <w:t xml:space="preserve"> </w:t>
      </w:r>
      <m:oMath>
        <m:r>
          <m:t>ω</m:t>
        </m:r>
        <m:r>
          <m:rPr>
            <m:sty m:val="p"/>
          </m:rPr>
          <m:t>=</m:t>
        </m:r>
        <m:r>
          <m:t>π</m:t>
        </m:r>
        <m:d>
          <m:dPr>
            <m:begChr m:val="("/>
            <m:endChr m:val=")"/>
            <m:grow/>
          </m:dPr>
          <m:e>
            <m:r>
              <m:t>1</m:t>
            </m:r>
            <m:r>
              <m:rPr>
                <m:sty m:val="p"/>
              </m:rPr>
              <m:t>−</m:t>
            </m:r>
            <m:sSub>
              <m:e>
                <m:r>
                  <m:t>ε</m:t>
                </m:r>
              </m:e>
              <m:sub>
                <m:r>
                  <m:t>r</m:t>
                </m:r>
              </m:sub>
            </m:sSub>
          </m:e>
        </m:d>
        <m:r>
          <m:rPr>
            <m:sty m:val="p"/>
          </m:rPr>
          <m:t>/</m:t>
        </m:r>
        <m:r>
          <m:t>T</m:t>
        </m:r>
      </m:oMath>
      <w:r>
        <w:t xml:space="preserve">.</w:t>
      </w:r>
    </w:p>
    <w:p>
      <w:pPr>
        <w:pStyle w:val="BodyText"/>
      </w:pPr>
      <w:r>
        <w:t xml:space="preserve">The origin of this locking can be understood from the structure of</w:t>
      </w:r>
      <w:r>
        <w:t xml:space="preserve"> </w:t>
      </w:r>
      <m:oMath>
        <m:sSub>
          <m:e>
            <m:acc>
              <m:accPr>
                <m:chr m:val="̂"/>
              </m:accPr>
              <m:e>
                <m:r>
                  <m:t>U</m:t>
                </m:r>
              </m:e>
            </m:acc>
          </m:e>
          <m:sub>
            <m:r>
              <m:t>F</m:t>
            </m:r>
          </m:sub>
        </m:sSub>
      </m:oMath>
      <w:r>
        <w:t xml:space="preserve">. At</w:t>
      </w:r>
      <w:r>
        <w:t xml:space="preserve"> </w:t>
      </w:r>
      <m:oMath>
        <m:sSub>
          <m:e>
            <m:r>
              <m:t>ε</m:t>
            </m:r>
          </m:e>
          <m:sub>
            <m:r>
              <m:t>r</m:t>
            </m:r>
          </m:sub>
        </m:sSub>
        <m:r>
          <m:rPr>
            <m:sty m:val="p"/>
          </m:rPr>
          <m:t>=</m:t>
        </m:r>
        <m:r>
          <m:t>0</m:t>
        </m:r>
      </m:oMath>
      <w:r>
        <w:t xml:space="preserve">, its eigenstates are cat states</w:t>
      </w:r>
      <w:r>
        <w:t xml:space="preserve"> </w:t>
      </w:r>
      <m:oMath>
        <m:r>
          <m:rPr>
            <m:nor/>
          </m:rPr>
          <m:t>|</m:t>
        </m:r>
        <m:r>
          <m:rPr>
            <m:sty m:val="p"/>
          </m:rPr>
          <m:t>{</m:t>
        </m:r>
        <m:r>
          <m:t>s</m:t>
        </m:r>
        <m:r>
          <m:rPr>
            <m:sty m:val="p"/>
          </m:rPr>
          <m:t>}</m:t>
        </m:r>
        <m:r>
          <m:rPr>
            <m:sty m:val="p"/>
          </m:rPr>
          <m:t>⟩</m:t>
        </m:r>
        <m:r>
          <m:rPr>
            <m:sty m:val="p"/>
          </m:rPr>
          <m:t>±</m:t>
        </m:r>
        <m:sSup>
          <m:e>
            <m:r>
              <m:t>e</m:t>
            </m:r>
          </m:e>
          <m:sup>
            <m:r>
              <m:t>i</m:t>
            </m:r>
            <m:sSub>
              <m:e>
                <m:r>
                  <m:t>ϕ</m:t>
                </m:r>
              </m:e>
              <m:sub>
                <m:r>
                  <m:t>s</m:t>
                </m:r>
              </m:sub>
            </m:sSub>
          </m:sup>
        </m:sSup>
        <m:r>
          <m:rPr>
            <m:nor/>
          </m:rPr>
          <m:t>|</m:t>
        </m:r>
        <m:r>
          <m:rPr>
            <m:sty m:val="p"/>
          </m:rPr>
          <m:t>{</m:t>
        </m:r>
        <m:r>
          <m:rPr>
            <m:sty m:val="p"/>
          </m:rPr>
          <m:t>−</m:t>
        </m:r>
        <m:r>
          <m:t>s</m:t>
        </m:r>
        <m:r>
          <m:rPr>
            <m:sty m:val="p"/>
          </m:rPr>
          <m:t>}</m:t>
        </m:r>
        <m:r>
          <m:rPr>
            <m:sty m:val="p"/>
          </m:rPr>
          <m:t>⟩</m:t>
        </m:r>
      </m:oMath>
      <w:r>
        <w:t xml:space="preserve"> </w:t>
      </w:r>
      <w:r>
        <w:t xml:space="preserve">built from</w:t>
      </w:r>
      <w:r>
        <w:t xml:space="preserve"> </w:t>
      </w:r>
      <m:oMath>
        <m:sSup>
          <m:e>
            <m:acc>
              <m:accPr>
                <m:chr m:val="̂"/>
              </m:accPr>
              <m:e>
                <m:r>
                  <m:t>σ</m:t>
                </m:r>
              </m:e>
            </m:acc>
          </m:e>
          <m:sup>
            <m:r>
              <m:t>z</m:t>
            </m:r>
          </m:sup>
        </m:sSup>
      </m:oMath>
      <w:r>
        <w:t xml:space="preserve"> </w:t>
      </w:r>
      <w:r>
        <w:t xml:space="preserve">product states, with quasienergies differing by exactly</w:t>
      </w:r>
      <w:r>
        <w:t xml:space="preserve"> </w:t>
      </w:r>
      <m:oMath>
        <m:r>
          <m:t>π</m:t>
        </m:r>
        <m:r>
          <m:rPr>
            <m:sty m:val="p"/>
          </m:rPr>
          <m:t>/</m:t>
        </m:r>
        <m:r>
          <m:t>T</m:t>
        </m:r>
      </m:oMath>
      <w:r>
        <w:t xml:space="preserve">. A small rotation error flips individual spins and therefore creates domain walls, which cost an energy of order</w:t>
      </w:r>
      <w:r>
        <w:t xml:space="preserve"> </w:t>
      </w:r>
      <m:oMath>
        <m:sSub>
          <m:e>
            <m:r>
              <m:t>J</m:t>
            </m:r>
          </m:e>
          <m:sub>
            <m:r>
              <m:t>i</m:t>
            </m:r>
          </m:sub>
        </m:sSub>
      </m:oMath>
      <w:r>
        <w:t xml:space="preserve">. When the couplings and fields are random, these processes are generically off-resonant, so</w:t>
      </w:r>
      <w:r>
        <w:t xml:space="preserve"> </w:t>
      </w:r>
      <m:oMath>
        <m:sSub>
          <m:e>
            <m:r>
              <m:t>ε</m:t>
            </m:r>
          </m:e>
          <m:sub>
            <m:r>
              <m:t>r</m:t>
            </m:r>
          </m:sub>
        </m:sSub>
      </m:oMath>
      <w:r>
        <w:t xml:space="preserve"> </w:t>
      </w:r>
      <w:r>
        <w:t xml:space="preserve">acts only perturbatively. It dresses</w:t>
      </w:r>
      <w:r>
        <w:t xml:space="preserve"> </w:t>
      </w:r>
      <m:oMath>
        <m:sSubSup>
          <m:e>
            <m:acc>
              <m:accPr>
                <m:chr m:val="̂"/>
              </m:accPr>
              <m:e>
                <m:r>
                  <m:t>σ</m:t>
                </m:r>
              </m:e>
            </m:acc>
          </m:e>
          <m:sub>
            <m:r>
              <m:t>i</m:t>
            </m:r>
          </m:sub>
          <m:sup>
            <m:r>
              <m:t>z</m:t>
            </m:r>
          </m:sup>
        </m:sSubSup>
      </m:oMath>
      <w:r>
        <w:t xml:space="preserve"> </w:t>
      </w:r>
      <w:r>
        <w:t xml:space="preserve">into quasi-local operators</w:t>
      </w:r>
      <w:r>
        <w:t xml:space="preserve"> </w:t>
      </w:r>
      <m:oMath>
        <m:sSubSup>
          <m:e>
            <m:acc>
              <m:accPr>
                <m:chr m:val="̂"/>
              </m:accPr>
              <m:e>
                <m:r>
                  <m:t>τ</m:t>
                </m:r>
              </m:e>
            </m:acc>
          </m:e>
          <m:sub>
            <m:r>
              <m:t>i</m:t>
            </m:r>
          </m:sub>
          <m:sup>
            <m:r>
              <m:t>z</m:t>
            </m:r>
          </m:sup>
        </m:sSubSup>
      </m:oMath>
      <w:r>
        <w:t xml:space="preserve"> </w:t>
      </w:r>
      <w:r>
        <w:t xml:space="preserve">that still satisfy</w:t>
      </w:r>
      <w:r>
        <w:t xml:space="preserve"> </w:t>
      </w:r>
      <m:oMath>
        <m:sSubSup>
          <m:e>
            <m:acc>
              <m:accPr>
                <m:chr m:val="̂"/>
              </m:accPr>
              <m:e>
                <m:r>
                  <m:t>U</m:t>
                </m:r>
              </m:e>
            </m:acc>
          </m:e>
          <m:sub>
            <m:r>
              <m:t>F</m:t>
            </m:r>
          </m:sub>
          <m:sup>
            <m:r>
              <m:rPr>
                <m:sty m:val="p"/>
              </m:rPr>
              <m:t>†</m:t>
            </m:r>
          </m:sup>
        </m:sSubSup>
        <m:sSubSup>
          <m:e>
            <m:acc>
              <m:accPr>
                <m:chr m:val="̂"/>
              </m:accPr>
              <m:e>
                <m:r>
                  <m:t>τ</m:t>
                </m:r>
              </m:e>
            </m:acc>
          </m:e>
          <m:sub>
            <m:r>
              <m:t>i</m:t>
            </m:r>
          </m:sub>
          <m:sup>
            <m:r>
              <m:t>z</m:t>
            </m:r>
          </m:sup>
        </m:sSubSup>
        <m:sSub>
          <m:e>
            <m:acc>
              <m:accPr>
                <m:chr m:val="̂"/>
              </m:accPr>
              <m:e>
                <m:r>
                  <m:t>U</m:t>
                </m:r>
              </m:e>
            </m:acc>
          </m:e>
          <m:sub>
            <m:r>
              <m:t>F</m:t>
            </m:r>
          </m:sub>
        </m:sSub>
        <m:r>
          <m:rPr>
            <m:sty m:val="p"/>
          </m:rPr>
          <m:t>≃</m:t>
        </m:r>
        <m:r>
          <m:rPr>
            <m:sty m:val="p"/>
          </m:rPr>
          <m:t>−</m:t>
        </m:r>
        <m:sSubSup>
          <m:e>
            <m:acc>
              <m:accPr>
                <m:chr m:val="̂"/>
              </m:accPr>
              <m:e>
                <m:r>
                  <m:t>τ</m:t>
                </m:r>
              </m:e>
            </m:acc>
          </m:e>
          <m:sub>
            <m:r>
              <m:t>i</m:t>
            </m:r>
          </m:sub>
          <m:sup>
            <m:r>
              <m:t>z</m:t>
            </m:r>
          </m:sup>
        </m:sSubSup>
      </m:oMath>
      <w:r>
        <w:t xml:space="preserve">, and the</w:t>
      </w:r>
      <w:r>
        <w:t xml:space="preserve"> </w:t>
      </w:r>
      <m:oMath>
        <m:r>
          <m:t>π</m:t>
        </m:r>
      </m:oMath>
      <w:r>
        <w:t xml:space="preserve"> </w:t>
      </w:r>
      <w:r>
        <w:t xml:space="preserve">pairing survives with corrections exponentially small in the system size (Else et al., 2016; Khemani et al., 2016; von Keyserlingk et al., 2016). This is the many-body-localized DTC. Its rigidity has been established theoretically (Else et al., 2016; Khemani et al., 2016; von Keyserlingk et al., 2016; von Keyserlingk &amp; Sondhi, 2016; Yao et al., 2017), and signatures of it have been observed experimentally (Mi et al., 2022; Randall et al., 2021).</w:t>
      </w:r>
    </w:p>
    <w:p>
      <w:pPr>
        <w:pStyle w:val="BodyText"/>
      </w:pPr>
      <w:r>
        <w:t xml:space="preserve">However, quenched disorder is not essential for realizing DTC order, and the asymptotic stability of MBL is itself under debate. We therefore turn to clean periodically driven systems, where dynamical many body localization (DMBL) can suppress heating through the intrinsic dynamics and provide a route toward time crystalline behavior in the absence of disorder. A representative example is a long-range Ising chain subject to a periodically modulated field,</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725"/>
        <w:gridCol w:w="2808"/>
        <w:gridCol w:w="620"/>
      </w:tblGrid>
      <w:tr>
        <w:trPr>
          <w:cantSplit/>
        </w:trPr>
        <w:tc>
          <w:tcPr>
            <w:tcW w:w="725" w:type="dxa"/>
            <w:vAlign w:val="center"/>
          </w:tcPr>
          <w:p>
            <w:pPr>
              <w:keepNext/>
              <w:spacing w:before="60" w:after="0" w:line="300" w:lineRule="auto"/>
              <w:jc w:val="right"/>
            </w:pPr>
            <m:oMathPara>
              <m:oMathParaPr>
                <m:jc m:val="right"/>
              </m:oMathParaPr>
              <m:oMath>
                <m:sSub>
                  <m:e>
                    <m:acc>
                      <m:accPr>
                        <m:chr m:val="̂"/>
                      </m:accPr>
                      <m:e>
                        <m:r>
                          <m:t>H</m:t>
                        </m:r>
                      </m:e>
                    </m:acc>
                  </m:e>
                  <m:sub>
                    <m:r>
                      <m:t>2</m:t>
                    </m:r>
                  </m:sub>
                </m:sSub>
                <m:d>
                  <m:dPr>
                    <m:begChr m:val="("/>
                    <m:endChr m:val=")"/>
                    <m:grow/>
                  </m:dPr>
                  <m:e>
                    <m:r>
                      <m:t>t</m:t>
                    </m:r>
                  </m:e>
                </m:d>
              </m:oMath>
            </m:oMathPara>
          </w:p>
        </w:tc>
        <w:tc>
          <w:tcPr>
            <w:tcW w:w="2808" w:type="dxa"/>
            <w:vAlign w:val="center"/>
          </w:tcPr>
          <w:p>
            <w:pPr>
              <w:keepNext/>
              <w:spacing w:before="60" w:after="0" w:line="300" w:lineRule="auto"/>
              <w:jc w:val="left"/>
            </w:pPr>
            <m:oMathPara>
              <m:oMathParaPr>
                <m:jc m:val="left"/>
              </m:oMathParaPr>
              <m:oMath>
                <m:r>
                  <m:rPr>
                    <m:nor/>
                  </m:rPr>
                  <m:t>=</m:t>
                </m:r>
                <m:nary>
                  <m:naryPr>
                    <m:chr m:val="∑"/>
                    <m:limLoc m:val="undOvr"/>
                    <m:subHide m:val="off"/>
                    <m:supHide m:val="on"/>
                  </m:naryPr>
                  <m:sub>
                    <m:r>
                      <m:t>i</m:t>
                    </m:r>
                    <m:r>
                      <m:rPr>
                        <m:sty m:val="p"/>
                      </m:rPr>
                      <m:t>&lt;</m:t>
                    </m:r>
                    <m:r>
                      <m:t>j</m:t>
                    </m:r>
                  </m:sub>
                  <m:sup>
                    <m:r>
                      <m:t>​</m:t>
                    </m:r>
                  </m:sup>
                  <m:e>
                    <m:sSub>
                      <m:e>
                        <m:r>
                          <m:t>J</m:t>
                        </m:r>
                      </m:e>
                      <m:sub>
                        <m:r>
                          <m:t>i</m:t>
                        </m:r>
                        <m:r>
                          <m:t>j</m:t>
                        </m:r>
                      </m:sub>
                    </m:sSub>
                  </m:e>
                </m:nary>
                <m:r>
                  <m:t> </m:t>
                </m:r>
                <m:sSubSup>
                  <m:e>
                    <m:acc>
                      <m:accPr>
                        <m:chr m:val="̂"/>
                      </m:accPr>
                      <m:e>
                        <m:r>
                          <m:t>σ</m:t>
                        </m:r>
                      </m:e>
                    </m:acc>
                  </m:e>
                  <m:sub>
                    <m:r>
                      <m:t>i</m:t>
                    </m:r>
                  </m:sub>
                  <m:sup>
                    <m:r>
                      <m:t>y</m:t>
                    </m:r>
                  </m:sup>
                </m:sSubSup>
                <m:sSubSup>
                  <m:e>
                    <m:acc>
                      <m:accPr>
                        <m:chr m:val="̂"/>
                      </m:accPr>
                      <m:e>
                        <m:r>
                          <m:t>σ</m:t>
                        </m:r>
                      </m:e>
                    </m:acc>
                  </m:e>
                  <m:sub>
                    <m:r>
                      <m:t>j</m:t>
                    </m:r>
                  </m:sub>
                  <m:sup>
                    <m:r>
                      <m:t>y</m:t>
                    </m:r>
                  </m:sup>
                </m:sSubSup>
              </m:oMath>
            </m:oMathPara>
          </w:p>
        </w:tc>
        <w:tc>
          <w:tcPr>
            <w:tcW w:w="620" w:type="dxa"/>
            <w:vMerge w:val="restart"/>
            <w:vAlign w:val="center"/>
          </w:tcPr>
          <w:p>
            <w:pPr>
              <w:keepNext/>
              <w:spacing w:before="40" w:after="40" w:line="300" w:lineRule="auto"/>
              <w:jc w:val="right"/>
            </w:pPr>
            <w:r>
              <w:t>(11)</w:t>
            </w:r>
          </w:p>
        </w:tc>
      </w:tr>
      <w:tr>
        <w:trPr>
          <w:cantSplit/>
        </w:trPr>
        <w:tc>
          <w:tcPr>
            <w:tcW w:w="725" w:type="dxa"/>
            <w:vAlign w:val="center"/>
          </w:tcPr>
          <w:p>
            <w:pPr>
              <w:keepNext/>
              <w:spacing w:before="0" w:after="0" w:line="300" w:lineRule="auto"/>
              <w:jc w:val="right"/>
            </w:pPr>
          </w:p>
        </w:tc>
        <w:tc>
          <w:tcPr>
            <w:tcW w:w="2808" w:type="dxa"/>
            <w:vAlign w:val="center"/>
          </w:tcPr>
          <w:p>
            <w:pPr>
              <w:keepNext/>
              <w:spacing w:before="0" w:after="0" w:line="300" w:lineRule="auto"/>
              <w:jc w:val="left"/>
            </w:pPr>
            <m:oMathPara>
              <m:oMathParaPr>
                <m:jc m:val="left"/>
              </m:oMathParaPr>
              <m:oMath>
                <m:r>
                  <m:rPr>
                    <m:nor/>
                  </m:rPr>
                  <m:t xml:space="preserve"> </m:t>
                </m:r>
                <m:r>
                  <m:rPr>
                    <m:nor/>
                  </m:rPr>
                  <m:t>−</m:t>
                </m:r>
                <m:r>
                  <m:t>h</m:t>
                </m:r>
                <m:r>
                  <m:rPr>
                    <m:sty m:val="p"/>
                  </m:rPr>
                  <m:t>sin</m:t>
                </m:r>
                <m:d>
                  <m:dPr>
                    <m:begChr m:val="("/>
                    <m:endChr m:val=")"/>
                    <m:grow/>
                  </m:dPr>
                  <m:e>
                    <m:r>
                      <m:t>Ω</m:t>
                    </m:r>
                    <m:r>
                      <m:t>t</m:t>
                    </m:r>
                  </m:e>
                </m:d>
                <m:nary>
                  <m:naryPr>
                    <m:chr m:val="∑"/>
                    <m:limLoc m:val="undOvr"/>
                    <m:subHide m:val="off"/>
                    <m:supHide m:val="on"/>
                  </m:naryPr>
                  <m:sub>
                    <m:r>
                      <m:t>i</m:t>
                    </m:r>
                  </m:sub>
                  <m:sup>
                    <m:r>
                      <m:t>​</m:t>
                    </m:r>
                  </m:sup>
                  <m:e>
                    <m:sSubSup>
                      <m:e>
                        <m:acc>
                          <m:accPr>
                            <m:chr m:val="̂"/>
                          </m:accPr>
                          <m:e>
                            <m:r>
                              <m:t>σ</m:t>
                            </m:r>
                          </m:e>
                        </m:acc>
                      </m:e>
                      <m:sub>
                        <m:r>
                          <m:t>i</m:t>
                        </m:r>
                      </m:sub>
                      <m:sup>
                        <m:r>
                          <m:t>z</m:t>
                        </m:r>
                      </m:sup>
                    </m:sSubSup>
                  </m:e>
                </m:nary>
                <m:r>
                  <m:rPr>
                    <m:sty m:val="p"/>
                  </m:rPr>
                  <m:t>,</m:t>
                </m:r>
              </m:oMath>
            </m:oMathPara>
          </w:p>
        </w:tc>
        <w:tc>
          <w:tcPr>
            <w:tcW w:w="620" w:type="dxa"/>
            <w:vMerge/>
            <w:vAlign w:val="center"/>
          </w:tcPr>
          <w:p>
            <w:pPr>
              <w:keepNext/>
              <w:spacing w:before="40" w:after="40" w:line="300" w:lineRule="auto"/>
              <w:jc w:val="right"/>
            </w:pPr>
          </w:p>
        </w:tc>
      </w:tr>
      <w:tr>
        <w:trPr>
          <w:cantSplit/>
        </w:trPr>
        <w:tc>
          <w:tcPr>
            <w:tcW w:w="725" w:type="dxa"/>
            <w:vAlign w:val="center"/>
          </w:tcPr>
          <w:p>
            <w:pPr>
              <w:spacing w:before="0" w:after="60" w:line="300" w:lineRule="auto"/>
              <w:jc w:val="right"/>
            </w:pPr>
            <m:oMathPara>
              <m:oMathParaPr>
                <m:jc m:val="right"/>
              </m:oMathParaPr>
              <m:oMath>
                <m:sSub>
                  <m:e>
                    <m:r>
                      <m:t>J</m:t>
                    </m:r>
                  </m:e>
                  <m:sub>
                    <m:r>
                      <m:t>i</m:t>
                    </m:r>
                    <m:r>
                      <m:t>j</m:t>
                    </m:r>
                  </m:sub>
                </m:sSub>
              </m:oMath>
            </m:oMathPara>
          </w:p>
        </w:tc>
        <w:tc>
          <w:tcPr>
            <w:tcW w:w="2808" w:type="dxa"/>
            <w:vAlign w:val="center"/>
          </w:tcPr>
          <w:p>
            <w:pPr>
              <w:spacing w:before="0" w:after="60" w:line="300" w:lineRule="auto"/>
              <w:jc w:val="left"/>
            </w:pPr>
            <m:oMathPara>
              <m:oMathParaPr>
                <m:jc m:val="left"/>
              </m:oMathParaPr>
              <m:oMath>
                <m:r>
                  <m:rPr>
                    <m:nor/>
                  </m:rPr>
                  <m:t>=</m:t>
                </m:r>
                <m:f>
                  <m:fPr>
                    <m:type m:val="bar"/>
                  </m:fPr>
                  <m:num>
                    <m:sSub>
                      <m:e>
                        <m:r>
                          <m:t>J</m:t>
                        </m:r>
                      </m:e>
                      <m:sub>
                        <m:r>
                          <m:t>0</m:t>
                        </m:r>
                      </m:sub>
                    </m:sSub>
                  </m:num>
                  <m:den>
                    <m:sSup>
                      <m:e>
                        <m:d>
                          <m:dPr>
                            <m:begChr m:val="|"/>
                            <m:endChr m:val="|"/>
                            <m:grow/>
                          </m:dPr>
                          <m:e>
                            <m:r>
                              <m:t>i</m:t>
                            </m:r>
                            <m:r>
                              <m:rPr>
                                <m:sty m:val="p"/>
                              </m:rPr>
                              <m:t>−</m:t>
                            </m:r>
                            <m:r>
                              <m:t>j</m:t>
                            </m:r>
                          </m:e>
                        </m:d>
                      </m:e>
                      <m:sup>
                        <m:r>
                          <m:t>α</m:t>
                        </m:r>
                      </m:sup>
                    </m:sSup>
                  </m:den>
                </m:f>
                <m:r>
                  <m:rPr>
                    <m:sty m:val="p"/>
                  </m:rPr>
                  <m:t>,</m:t>
                </m:r>
              </m:oMath>
            </m:oMathPara>
          </w:p>
        </w:tc>
        <w:tc>
          <w:tcPr>
            <w:tcW w:w="620" w:type="dxa"/>
            <w:vMerge/>
            <w:vAlign w:val="center"/>
          </w:tcPr>
          <w:p>
            <w:pPr>
              <w:spacing w:before="40" w:after="40" w:line="300" w:lineRule="auto"/>
              <w:jc w:val="right"/>
            </w:pPr>
          </w:p>
        </w:tc>
      </w:tr>
    </w:tbl>
    <w:p>
      <w:pPr>
        <w:pStyle w:val="FirstParagraph"/>
      </w:pPr>
      <w:r>
        <w:t xml:space="preserve">where</w:t>
      </w:r>
      <w:r>
        <w:t xml:space="preserve"> </w:t>
      </w:r>
      <m:oMath>
        <m:r>
          <m:t>Ω</m:t>
        </m:r>
      </m:oMath>
      <w:r>
        <w:t xml:space="preserve"> </w:t>
      </w:r>
      <w:r>
        <w:t xml:space="preserve">is the frequency of the field modulation. As demonstrated by Rahaman et al. (2024a,b), this model exhibits robust dynamical localization when the drive parameters satisfy</w:t>
      </w:r>
      <w:r>
        <w:t xml:space="preserve"> </w:t>
      </w:r>
      <m:oMath>
        <m:sSub>
          <m:e>
            <m:r>
              <m:rPr>
                <m:scr m:val="script"/>
                <m:sty m:val="p"/>
              </m:rPr>
              <m:t>J</m:t>
            </m:r>
          </m:e>
          <m:sub>
            <m:r>
              <m:t>0</m:t>
            </m:r>
          </m:sub>
        </m:sSub>
        <m:d>
          <m:dPr>
            <m:begChr m:val="("/>
            <m:endChr m:val=")"/>
            <m:grow/>
          </m:dPr>
          <m:e>
            <m:r>
              <m:t>4</m:t>
            </m:r>
            <m:r>
              <m:t>h</m:t>
            </m:r>
            <m:r>
              <m:rPr>
                <m:sty m:val="p"/>
              </m:rPr>
              <m:t>/</m:t>
            </m:r>
            <m:r>
              <m:t>Ω</m:t>
            </m:r>
          </m:e>
        </m:d>
        <m:r>
          <m:rPr>
            <m:sty m:val="p"/>
          </m:rPr>
          <m:t>=</m:t>
        </m:r>
        <m:r>
          <m:t>0</m:t>
        </m:r>
      </m:oMath>
      <w:r>
        <w:t xml:space="preserve">, where</w:t>
      </w:r>
      <w:r>
        <w:t xml:space="preserve"> </w:t>
      </w:r>
      <m:oMath>
        <m:sSub>
          <m:e>
            <m:r>
              <m:rPr>
                <m:scr m:val="script"/>
                <m:sty m:val="p"/>
              </m:rPr>
              <m:t>J</m:t>
            </m:r>
          </m:e>
          <m:sub>
            <m:r>
              <m:t>0</m:t>
            </m:r>
          </m:sub>
        </m:sSub>
      </m:oMath>
      <w:r>
        <w:t xml:space="preserve"> </w:t>
      </w:r>
      <w:r>
        <w:t xml:space="preserve">denotes the zeroth-order Bessel function of the first kind. The origin of this condition is clearest in the frame rotating with the field. Writing</w:t>
      </w:r>
      <w:r>
        <w:t xml:space="preserve"> </w:t>
      </w:r>
      <m:oMath>
        <m:sSubSup>
          <m:e>
            <m:acc>
              <m:accPr>
                <m:chr m:val="̂"/>
              </m:accPr>
              <m:e>
                <m:r>
                  <m:t>σ</m:t>
                </m:r>
              </m:e>
            </m:acc>
          </m:e>
          <m:sub>
            <m:r>
              <m:t>i</m:t>
            </m:r>
          </m:sub>
          <m:sup>
            <m:r>
              <m:t>y</m:t>
            </m:r>
          </m:sup>
        </m:sSubSup>
        <m:sSubSup>
          <m:e>
            <m:acc>
              <m:accPr>
                <m:chr m:val="̂"/>
              </m:accPr>
              <m:e>
                <m:r>
                  <m:t>σ</m:t>
                </m:r>
              </m:e>
            </m:acc>
          </m:e>
          <m:sub>
            <m:r>
              <m:t>j</m:t>
            </m:r>
          </m:sub>
          <m:sup>
            <m:r>
              <m:t>y</m:t>
            </m:r>
          </m:sup>
        </m:sSubSup>
      </m:oMath>
      <w:r>
        <w:t xml:space="preserve"> </w:t>
      </w:r>
      <w:r>
        <w:t xml:space="preserve">in terms of</w:t>
      </w:r>
      <w:r>
        <w:t xml:space="preserve"> </w:t>
      </w:r>
      <m:oMath>
        <m:sSup>
          <m:e>
            <m:acc>
              <m:accPr>
                <m:chr m:val="̂"/>
              </m:accPr>
              <m:e>
                <m:r>
                  <m:t>σ</m:t>
                </m:r>
              </m:e>
            </m:acc>
          </m:e>
          <m:sup>
            <m:r>
              <m:rPr>
                <m:sty m:val="p"/>
              </m:rPr>
              <m:t>±</m:t>
            </m:r>
          </m:sup>
        </m:sSup>
      </m:oMath>
      <w:r>
        <w:t xml:space="preserve">, the flip-flop terms</w:t>
      </w:r>
      <w:r>
        <w:t xml:space="preserve"> </w:t>
      </w:r>
      <m:oMath>
        <m:sSubSup>
          <m:e>
            <m:acc>
              <m:accPr>
                <m:chr m:val="̂"/>
              </m:accPr>
              <m:e>
                <m:r>
                  <m:t>σ</m:t>
                </m:r>
              </m:e>
            </m:acc>
          </m:e>
          <m:sub>
            <m:r>
              <m:t>i</m:t>
            </m:r>
          </m:sub>
          <m:sup>
            <m:r>
              <m:rPr>
                <m:nor/>
              </m:rPr>
              <m:t>+</m:t>
            </m:r>
          </m:sup>
        </m:sSubSup>
        <m:sSubSup>
          <m:e>
            <m:acc>
              <m:accPr>
                <m:chr m:val="̂"/>
              </m:accPr>
              <m:e>
                <m:r>
                  <m:t>σ</m:t>
                </m:r>
              </m:e>
            </m:acc>
          </m:e>
          <m:sub>
            <m:r>
              <m:t>j</m:t>
            </m:r>
          </m:sub>
          <m:sup>
            <m:r>
              <m:rPr>
                <m:nor/>
              </m:rPr>
              <m:t>−</m:t>
            </m:r>
          </m:sup>
        </m:sSubSup>
        <m:r>
          <m:rPr>
            <m:sty m:val="p"/>
          </m:rPr>
          <m:t>+</m:t>
        </m:r>
        <m:r>
          <m:rPr>
            <m:nor/>
          </m:rPr>
          <m:t>h.c.</m:t>
        </m:r>
      </m:oMath>
      <w:r>
        <w:t xml:space="preserve"> </w:t>
      </w:r>
      <w:r>
        <w:t xml:space="preserve">conserve</w:t>
      </w:r>
      <w:r>
        <w:t xml:space="preserve"> </w:t>
      </w:r>
      <m:oMath>
        <m:nary>
          <m:naryPr>
            <m:chr m:val="∑"/>
            <m:limLoc m:val="undOvr"/>
            <m:subHide m:val="off"/>
            <m:supHide m:val="on"/>
          </m:naryPr>
          <m:sub>
            <m:r>
              <m:t>i</m:t>
            </m:r>
          </m:sub>
          <m:sup>
            <m:r>
              <m:t>​</m:t>
            </m:r>
          </m:sup>
          <m:e>
            <m:sSubSup>
              <m:e>
                <m:acc>
                  <m:accPr>
                    <m:chr m:val="̂"/>
                  </m:accPr>
                  <m:e>
                    <m:r>
                      <m:t>σ</m:t>
                    </m:r>
                  </m:e>
                </m:acc>
              </m:e>
              <m:sub>
                <m:r>
                  <m:t>i</m:t>
                </m:r>
              </m:sub>
              <m:sup>
                <m:r>
                  <m:t>z</m:t>
                </m:r>
              </m:sup>
            </m:sSubSup>
          </m:e>
        </m:nary>
      </m:oMath>
      <w:r>
        <w:t xml:space="preserve"> </w:t>
      </w:r>
      <w:r>
        <w:t xml:space="preserve">and are unaffected by the rotation. The pair creation terms</w:t>
      </w:r>
      <w:r>
        <w:t xml:space="preserve"> </w:t>
      </w:r>
      <m:oMath>
        <m:sSubSup>
          <m:e>
            <m:acc>
              <m:accPr>
                <m:chr m:val="̂"/>
              </m:accPr>
              <m:e>
                <m:r>
                  <m:t>σ</m:t>
                </m:r>
              </m:e>
            </m:acc>
          </m:e>
          <m:sub>
            <m:r>
              <m:t>i</m:t>
            </m:r>
          </m:sub>
          <m:sup>
            <m:r>
              <m:rPr>
                <m:nor/>
              </m:rPr>
              <m:t>+</m:t>
            </m:r>
          </m:sup>
        </m:sSubSup>
        <m:sSubSup>
          <m:e>
            <m:acc>
              <m:accPr>
                <m:chr m:val="̂"/>
              </m:accPr>
              <m:e>
                <m:r>
                  <m:t>σ</m:t>
                </m:r>
              </m:e>
            </m:acc>
          </m:e>
          <m:sub>
            <m:r>
              <m:t>j</m:t>
            </m:r>
          </m:sub>
          <m:sup>
            <m:r>
              <m:rPr>
                <m:nor/>
              </m:rPr>
              <m:t>+</m:t>
            </m:r>
          </m:sup>
        </m:sSubSup>
        <m:r>
          <m:rPr>
            <m:sty m:val="p"/>
          </m:rPr>
          <m:t>+</m:t>
        </m:r>
        <m:r>
          <m:rPr>
            <m:nor/>
          </m:rPr>
          <m:t>h.c.</m:t>
        </m:r>
      </m:oMath>
      <w:r>
        <w:t xml:space="preserve"> </w:t>
      </w:r>
      <w:r>
        <w:t xml:space="preserve">instead acquire, up to a constant phase, the time dependent phase</w:t>
      </w:r>
      <w:r>
        <w:t xml:space="preserve"> </w:t>
      </w:r>
      <m:oMath>
        <m:sSup>
          <m:e>
            <m:r>
              <m:t>e</m:t>
            </m:r>
          </m:e>
          <m:sup>
            <m:r>
              <m:rPr>
                <m:sty m:val="p"/>
              </m:rPr>
              <m:t>±</m:t>
            </m:r>
            <m:r>
              <m:t>i</m:t>
            </m:r>
            <m:d>
              <m:dPr>
                <m:begChr m:val="("/>
                <m:endChr m:val=")"/>
                <m:grow/>
              </m:dPr>
              <m:e>
                <m:r>
                  <m:t>4</m:t>
                </m:r>
                <m:r>
                  <m:t>h</m:t>
                </m:r>
                <m:r>
                  <m:rPr>
                    <m:sty m:val="p"/>
                  </m:rPr>
                  <m:t>/</m:t>
                </m:r>
                <m:r>
                  <m:t>Ω</m:t>
                </m:r>
              </m:e>
            </m:d>
            <m:r>
              <m:rPr>
                <m:sty m:val="p"/>
              </m:rPr>
              <m:t>cos</m:t>
            </m:r>
            <m:r>
              <m:t>Ω</m:t>
            </m:r>
            <m:r>
              <m:t>t</m:t>
            </m:r>
          </m:sup>
        </m:sSup>
      </m:oMath>
      <w:r>
        <w:t xml:space="preserve">. Averaged over a cycle, they are multiplied by</w:t>
      </w:r>
      <w:r>
        <w:t xml:space="preserve"> </w:t>
      </w:r>
      <m:oMath>
        <m:sSub>
          <m:e>
            <m:r>
              <m:rPr>
                <m:scr m:val="script"/>
                <m:sty m:val="p"/>
              </m:rPr>
              <m:t>J</m:t>
            </m:r>
          </m:e>
          <m:sub>
            <m:r>
              <m:t>0</m:t>
            </m:r>
          </m:sub>
        </m:sSub>
        <m:d>
          <m:dPr>
            <m:begChr m:val="("/>
            <m:endChr m:val=")"/>
            <m:grow/>
          </m:dPr>
          <m:e>
            <m:r>
              <m:t>4</m:t>
            </m:r>
            <m:r>
              <m:t>h</m:t>
            </m:r>
            <m:r>
              <m:rPr>
                <m:sty m:val="p"/>
              </m:rPr>
              <m:t>/</m:t>
            </m:r>
            <m:r>
              <m:t>Ω</m:t>
            </m:r>
          </m:e>
        </m:d>
      </m:oMath>
      <w:r>
        <w:t xml:space="preserve"> </w:t>
      </w:r>
      <w:r>
        <w:t xml:space="preserve">and therefore vanish at its zeros. To leading order in</w:t>
      </w:r>
      <w:r>
        <w:t xml:space="preserve"> </w:t>
      </w:r>
      <m:oMath>
        <m:r>
          <m:t>1</m:t>
        </m:r>
        <m:r>
          <m:rPr>
            <m:sty m:val="p"/>
          </m:rPr>
          <m:t>/</m:t>
        </m:r>
        <m:r>
          <m:t>Ω</m:t>
        </m:r>
      </m:oMath>
      <w:r>
        <w:t xml:space="preserve">, the effective Hamiltonian then conserves the total magnetization, and the resulting dynamical localization suppresses heating (Rahaman et al., 2024a). This localization mechanism can be combined with the binary Floquet protocol of Eq. (5), with</w:t>
      </w:r>
      <w:r>
        <w:t xml:space="preserve"> </w:t>
      </w:r>
      <m:oMath>
        <m:sSub>
          <m:e>
            <m:acc>
              <m:accPr>
                <m:chr m:val="̂"/>
              </m:accPr>
              <m:e>
                <m:r>
                  <m:t>H</m:t>
                </m:r>
              </m:e>
            </m:acc>
          </m:e>
          <m:sub>
            <m:r>
              <m:t>2</m:t>
            </m:r>
          </m:sub>
        </m:sSub>
        <m:d>
          <m:dPr>
            <m:begChr m:val="("/>
            <m:endChr m:val=")"/>
            <m:grow/>
          </m:dPr>
          <m:e>
            <m:r>
              <m:t>t</m:t>
            </m:r>
          </m:e>
        </m:d>
      </m:oMath>
      <w:r>
        <w:t xml:space="preserve"> </w:t>
      </w:r>
      <w:r>
        <w:t xml:space="preserve">acting during the interval</w:t>
      </w:r>
      <w:r>
        <w:t xml:space="preserve"> </w:t>
      </w:r>
      <m:oMath>
        <m:sSub>
          <m:e>
            <m:r>
              <m:t>T</m:t>
            </m:r>
          </m:e>
          <m:sub>
            <m:r>
              <m:t>2</m:t>
            </m:r>
          </m:sub>
        </m:sSub>
      </m:oMath>
      <w:r>
        <w:t xml:space="preserve"> </w:t>
      </w:r>
      <w:r>
        <w:t xml:space="preserve">(chosen as an integer multiple of</w:t>
      </w:r>
      <w:r>
        <w:t xml:space="preserve"> </w:t>
      </w:r>
      <m:oMath>
        <m:r>
          <m:t>2</m:t>
        </m:r>
        <m:r>
          <m:t>π</m:t>
        </m:r>
        <m:r>
          <m:rPr>
            <m:sty m:val="p"/>
          </m:rPr>
          <m:t>/</m:t>
        </m:r>
        <m:r>
          <m:t>Ω</m:t>
        </m:r>
      </m:oMath>
      <w:r>
        <w:t xml:space="preserve">), to stabilize a subharmonic response and thereby realize DTC order in a clean system (Rahaman et al., 2024b).</w:t>
      </w:r>
    </w:p>
    <w:p>
      <w:pPr>
        <w:pStyle w:val="BodyText"/>
      </w:pPr>
      <w:r>
        <w:t xml:space="preserve">A complementary route to realizing DTC order without disorder is provided by high-frequency driving. When the drive frequency</w:t>
      </w:r>
      <w:r>
        <w:t xml:space="preserve"> </w:t>
      </w:r>
      <m:oMath>
        <m:sSub>
          <m:e>
            <m:r>
              <m:t>ω</m:t>
            </m:r>
          </m:e>
          <m:sub>
            <m:r>
              <m:t>D</m:t>
            </m:r>
          </m:sub>
        </m:sSub>
      </m:oMath>
      <w:r>
        <w:t xml:space="preserve"> </w:t>
      </w:r>
      <w:r>
        <w:t xml:space="preserve">is much larger than the local energy scale</w:t>
      </w:r>
      <w:r>
        <w:t xml:space="preserve"> </w:t>
      </w:r>
      <m:oMath>
        <m:sSub>
          <m:e>
            <m:r>
              <m:t>J</m:t>
            </m:r>
          </m:e>
          <m:sub>
            <m:r>
              <m:rPr>
                <m:nor/>
              </m:rPr>
              <m:t>loc</m:t>
            </m:r>
          </m:sub>
        </m:sSub>
      </m:oMath>
      <w:r>
        <w:t xml:space="preserve">, absorbing a single drive quantum requires a high-order many-body process. Consequently, the heating time is exponentially long (Abanin et al., 2017; Kuwahara et al., 2016; Mori et al., 2016),</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3533"/>
        <w:gridCol w:w="620"/>
      </w:tblGrid>
      <w:tr>
        <w:trPr>
          <w:cantSplit/>
        </w:trPr>
        <w:tc>
          <w:tcPr>
            <w:tcW w:w="3533" w:type="dxa"/>
            <w:vAlign w:val="center"/>
          </w:tcPr>
          <w:p>
            <w:pPr>
              <w:spacing w:before="60" w:after="60" w:line="300" w:lineRule="auto"/>
              <w:jc w:val="center"/>
            </w:pPr>
            <m:oMathPara>
              <m:oMathParaPr>
                <m:jc m:val="center"/>
              </m:oMathParaPr>
              <m:oMath>
                <m:sSub>
                  <m:e>
                    <m:r>
                      <m:t>τ</m:t>
                    </m:r>
                  </m:e>
                  <m:sub>
                    <m:r>
                      <m:rPr>
                        <m:nor/>
                      </m:rPr>
                      <m:t>heat</m:t>
                    </m:r>
                  </m:sub>
                </m:sSub>
                <m:r>
                  <m:rPr>
                    <m:sty m:val="p"/>
                  </m:rPr>
                  <m:t>≳</m:t>
                </m:r>
                <m:r>
                  <m:rPr>
                    <m:sty m:val="p"/>
                  </m:rPr>
                  <m:t>exp</m:t>
                </m:r>
                <m:d>
                  <m:dPr>
                    <m:begChr m:val="("/>
                    <m:endChr m:val=")"/>
                    <m:grow/>
                  </m:dPr>
                  <m:e>
                    <m:r>
                      <m:t>c</m:t>
                    </m:r>
                    <m:r>
                      <m:t> </m:t>
                    </m:r>
                    <m:sSub>
                      <m:e>
                        <m:r>
                          <m:t>ω</m:t>
                        </m:r>
                      </m:e>
                      <m:sub>
                        <m:r>
                          <m:t>D</m:t>
                        </m:r>
                      </m:sub>
                    </m:sSub>
                    <m:r>
                      <m:rPr>
                        <m:sty m:val="p"/>
                      </m:rPr>
                      <m:t>/</m:t>
                    </m:r>
                    <m:sSub>
                      <m:e>
                        <m:r>
                          <m:t>J</m:t>
                        </m:r>
                      </m:e>
                      <m:sub>
                        <m:r>
                          <m:rPr>
                            <m:nor/>
                          </m:rPr>
                          <m:t>loc</m:t>
                        </m:r>
                      </m:sub>
                    </m:sSub>
                  </m:e>
                </m:d>
                <m:r>
                  <m:rPr>
                    <m:nor/>
                  </m:rPr>
                  <m:t>.</m:t>
                </m:r>
              </m:oMath>
            </m:oMathPara>
          </w:p>
        </w:tc>
        <w:tc>
          <w:tcPr>
            <w:tcW w:w="620" w:type="dxa"/>
            <w:vAlign w:val="center"/>
          </w:tcPr>
          <w:p>
            <w:pPr>
              <w:spacing w:before="40" w:after="40" w:line="300" w:lineRule="auto"/>
              <w:jc w:val="right"/>
            </w:pPr>
            <w:r>
              <w:t>(12)</w:t>
            </w:r>
          </w:p>
        </w:tc>
      </w:tr>
    </w:tbl>
    <w:p>
      <w:pPr>
        <w:pStyle w:val="FirstParagraph"/>
      </w:pPr>
      <w:r>
        <w:t xml:space="preserve">For times shorter than</w:t>
      </w:r>
      <w:r>
        <w:t xml:space="preserve"> </w:t>
      </w:r>
      <m:oMath>
        <m:sSub>
          <m:e>
            <m:r>
              <m:t>τ</m:t>
            </m:r>
          </m:e>
          <m:sub>
            <m:r>
              <m:rPr>
                <m:nor/>
              </m:rPr>
              <m:t>heat</m:t>
            </m:r>
          </m:sub>
        </m:sSub>
      </m:oMath>
      <w:r>
        <w:t xml:space="preserve">, a suitable rotating frame transformation brings the Floquet operator to the form</w:t>
      </w:r>
      <w:r>
        <w:t xml:space="preserve"> </w:t>
      </w:r>
      <m:oMath>
        <m:sSub>
          <m:e>
            <m:acc>
              <m:accPr>
                <m:chr m:val="̂"/>
              </m:accPr>
              <m:e>
                <m:r>
                  <m:t>U</m:t>
                </m:r>
              </m:e>
            </m:acc>
          </m:e>
          <m:sub>
            <m:r>
              <m:t>F</m:t>
            </m:r>
          </m:sub>
        </m:sSub>
        <m:r>
          <m:rPr>
            <m:sty m:val="p"/>
          </m:rPr>
          <m:t>≈</m:t>
        </m:r>
        <m:acc>
          <m:accPr>
            <m:chr m:val="̂"/>
          </m:accPr>
          <m:e>
            <m:r>
              <m:t>P</m:t>
            </m:r>
          </m:e>
        </m:acc>
        <m:r>
          <m:t> </m:t>
        </m:r>
        <m:sSup>
          <m:e>
            <m:r>
              <m:t>e</m:t>
            </m:r>
          </m:e>
          <m:sup>
            <m:r>
              <m:rPr>
                <m:sty m:val="p"/>
              </m:rPr>
              <m:t>−</m:t>
            </m:r>
            <m:r>
              <m:t>i</m:t>
            </m:r>
            <m:acc>
              <m:accPr>
                <m:chr m:val="̂"/>
              </m:accPr>
              <m:e>
                <m:r>
                  <m:t>D</m:t>
                </m:r>
              </m:e>
            </m:acc>
            <m:r>
              <m:t>T</m:t>
            </m:r>
          </m:sup>
        </m:sSup>
      </m:oMath>
      <w:r>
        <w:t xml:space="preserve">. The effective static Hamiltonian</w:t>
      </w:r>
      <w:r>
        <w:t xml:space="preserve"> </w:t>
      </w:r>
      <m:oMath>
        <m:acc>
          <m:accPr>
            <m:chr m:val="̂"/>
          </m:accPr>
          <m:e>
            <m:r>
              <m:t>D</m:t>
            </m:r>
          </m:e>
        </m:acc>
      </m:oMath>
      <w:r>
        <w:t xml:space="preserve"> </w:t>
      </w:r>
      <w:r>
        <w:t xml:space="preserve">has an</w:t>
      </w:r>
      <w:r>
        <w:t xml:space="preserve"> </w:t>
      </w:r>
      <w:r>
        <w:rPr>
          <w:iCs/>
          <w:i/>
        </w:rPr>
        <w:t xml:space="preserve">emergent</w:t>
      </w:r>
      <w:r>
        <w:t xml:space="preserve"> </w:t>
      </w:r>
      <m:oMath>
        <m:sSub>
          <m:e>
            <m:r>
              <m:rPr>
                <m:scr m:val="double-struck"/>
                <m:sty m:val="p"/>
              </m:rPr>
              <m:t>Z</m:t>
            </m:r>
          </m:e>
          <m:sub>
            <m:r>
              <m:t>2</m:t>
            </m:r>
          </m:sub>
        </m:sSub>
      </m:oMath>
      <w:r>
        <w:t xml:space="preserve"> </w:t>
      </w:r>
      <w:r>
        <w:t xml:space="preserve">symmetry,</w:t>
      </w:r>
      <w:r>
        <w:t xml:space="preserve"> </w:t>
      </w:r>
      <m:oMath>
        <m:d>
          <m:dPr>
            <m:begChr m:val="["/>
            <m:endChr m:val="]"/>
            <m:grow/>
          </m:dPr>
          <m:e>
            <m:acc>
              <m:accPr>
                <m:chr m:val="̂"/>
              </m:accPr>
              <m:e>
                <m:r>
                  <m:t>D</m:t>
                </m:r>
              </m:e>
            </m:acc>
            <m:r>
              <m:rPr>
                <m:sty m:val="p"/>
              </m:rPr>
              <m:t>,</m:t>
            </m:r>
            <m:acc>
              <m:accPr>
                <m:chr m:val="̂"/>
              </m:accPr>
              <m:e>
                <m:r>
                  <m:t>P</m:t>
                </m:r>
              </m:e>
            </m:acc>
          </m:e>
        </m:d>
        <m:r>
          <m:rPr>
            <m:sty m:val="p"/>
          </m:rPr>
          <m:t>=</m:t>
        </m:r>
        <m:r>
          <m:t>0</m:t>
        </m:r>
      </m:oMath>
      <w:r>
        <w:t xml:space="preserve">. If the corresponding prethermal state spontaneously breaks this symmetry, the discrete time translation symmetry is broken and the laboratory frame observable exhibits a robust period-doubled response (Else et al., 2017). Thus, the existence of a prethermal DTC is constrained by the same equilibrium symmetry breaking considerations discussed above. For short range interactions, finite temperature breaking of a discrete symmetry requires</w:t>
      </w:r>
      <w:r>
        <w:t xml:space="preserve"> </w:t>
      </w:r>
      <m:oMath>
        <m:r>
          <m:t>d</m:t>
        </m:r>
        <m:r>
          <m:rPr>
            <m:sty m:val="p"/>
          </m:rPr>
          <m:t>≥</m:t>
        </m:r>
        <m:r>
          <m:t>2</m:t>
        </m:r>
      </m:oMath>
      <w:r>
        <w:t xml:space="preserve">. Clean long range interactions can modify this conclusion and support time crystalline order even in one dimension (Pizzi et al., 2021; Russomanno et al., 2017). A prethermal DTC of this kind has been observed in a trapped-ion chain (Kyprianidis et al., 2021).</w:t>
      </w:r>
    </w:p>
    <w:p>
      <w:pPr>
        <w:pStyle w:val="BodyText"/>
      </w:pPr>
      <w:r>
        <w:t xml:space="preserve">Another route to realizing DTC order in a clean system is provided by a two-tone drive protocol that dynamically cancels the interaction contribution to the Floquet Hamiltonian, resulting in flat quasienergy bands (Banerjee et al., 2025). In this scheme, the system is subjected to two square wave drives with commensurate frequencies</w:t>
      </w:r>
      <w:r>
        <w:t xml:space="preserve"> </w:t>
      </w:r>
      <m:oMath>
        <m:sSub>
          <m:e>
            <m:r>
              <m:t>ω</m:t>
            </m:r>
          </m:e>
          <m:sub>
            <m:r>
              <m:t>1</m:t>
            </m:r>
          </m:sub>
        </m:sSub>
      </m:oMath>
      <w:r>
        <w:t xml:space="preserve"> </w:t>
      </w:r>
      <w:r>
        <w:t xml:space="preserve">and</w:t>
      </w:r>
      <w:r>
        <w:t xml:space="preserve"> </w:t>
      </w:r>
      <m:oMath>
        <m:sSub>
          <m:e>
            <m:r>
              <m:t>ω</m:t>
            </m:r>
          </m:e>
          <m:sub>
            <m:r>
              <m:t>2</m:t>
            </m:r>
          </m:sub>
        </m:sSub>
      </m:oMath>
      <w:r>
        <w:t xml:space="preserve">, satisfying</w:t>
      </w:r>
      <w:r>
        <w:t xml:space="preserve"> </w:t>
      </w:r>
      <m:oMath>
        <m:sSub>
          <m:e>
            <m:r>
              <m:t>ω</m:t>
            </m:r>
          </m:e>
          <m:sub>
            <m:r>
              <m:t>1</m:t>
            </m:r>
          </m:sub>
        </m:sSub>
        <m:r>
          <m:rPr>
            <m:sty m:val="p"/>
          </m:rPr>
          <m:t>=</m:t>
        </m:r>
        <m:r>
          <m:t>n</m:t>
        </m:r>
        <m:sSub>
          <m:e>
            <m:r>
              <m:t>ω</m:t>
            </m:r>
          </m:e>
          <m:sub>
            <m:r>
              <m:t>2</m:t>
            </m:r>
          </m:sub>
        </m:sSub>
      </m:oMath>
      <w:r>
        <w:t xml:space="preserve">, where</w:t>
      </w:r>
      <w:r>
        <w:t xml:space="preserve"> </w:t>
      </w:r>
      <m:oMath>
        <m:r>
          <m:t>n</m:t>
        </m:r>
        <m:r>
          <m:rPr>
            <m:sty m:val="p"/>
          </m:rPr>
          <m:t>&gt;</m:t>
        </m:r>
        <m:r>
          <m:t>1</m:t>
        </m:r>
      </m:oMath>
      <w:r>
        <w:t xml:space="preserve"> </w:t>
      </w:r>
      <w:r>
        <w:t xml:space="preserve">is an odd integer. The corresponding time-dependent Hamiltonian is</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725"/>
        <w:gridCol w:w="2808"/>
        <w:gridCol w:w="620"/>
      </w:tblGrid>
      <w:tr>
        <w:trPr>
          <w:cantSplit/>
        </w:trPr>
        <w:tc>
          <w:tcPr>
            <w:tcW w:w="725" w:type="dxa"/>
            <w:vAlign w:val="center"/>
          </w:tcPr>
          <w:p>
            <w:pPr>
              <w:keepNext/>
              <w:spacing w:before="60" w:after="0" w:line="300" w:lineRule="auto"/>
              <w:jc w:val="right"/>
            </w:pPr>
            <m:oMathPara>
              <m:oMathParaPr>
                <m:jc m:val="right"/>
              </m:oMathParaPr>
              <m:oMath>
                <m:sSub>
                  <m:e>
                    <m:acc>
                      <m:accPr>
                        <m:chr m:val="̂"/>
                      </m:accPr>
                      <m:e>
                        <m:r>
                          <m:t>H</m:t>
                        </m:r>
                      </m:e>
                    </m:acc>
                  </m:e>
                  <m:sub>
                    <m:r>
                      <m:t>2</m:t>
                    </m:r>
                  </m:sub>
                </m:sSub>
                <m:d>
                  <m:dPr>
                    <m:begChr m:val="("/>
                    <m:endChr m:val=")"/>
                    <m:grow/>
                  </m:dPr>
                  <m:e>
                    <m:r>
                      <m:t>t</m:t>
                    </m:r>
                  </m:e>
                </m:d>
              </m:oMath>
            </m:oMathPara>
          </w:p>
        </w:tc>
        <w:tc>
          <w:tcPr>
            <w:tcW w:w="2808" w:type="dxa"/>
            <w:vAlign w:val="center"/>
          </w:tcPr>
          <w:p>
            <w:pPr>
              <w:keepNext/>
              <w:spacing w:before="60" w:after="0" w:line="300" w:lineRule="auto"/>
              <w:jc w:val="left"/>
            </w:pPr>
            <m:oMathPara>
              <m:oMathParaPr>
                <m:jc m:val="left"/>
              </m:oMathParaPr>
              <m:oMath>
                <m:r>
                  <m:rPr>
                    <m:nor/>
                  </m:rPr>
                  <m:t>=</m:t>
                </m:r>
                <m:r>
                  <m:t>J</m:t>
                </m:r>
                <m:nary>
                  <m:naryPr>
                    <m:chr m:val="∑"/>
                    <m:limLoc m:val="undOvr"/>
                    <m:subHide m:val="off"/>
                    <m:supHide m:val="on"/>
                  </m:naryPr>
                  <m:sub>
                    <m:r>
                      <m:t>i</m:t>
                    </m:r>
                  </m:sub>
                  <m:sup>
                    <m:r>
                      <m:t>​</m:t>
                    </m:r>
                  </m:sup>
                  <m:e>
                    <m:sSubSup>
                      <m:e>
                        <m:acc>
                          <m:accPr>
                            <m:chr m:val="̂"/>
                          </m:accPr>
                          <m:e>
                            <m:r>
                              <m:t>σ</m:t>
                            </m:r>
                          </m:e>
                        </m:acc>
                      </m:e>
                      <m:sub>
                        <m:r>
                          <m:t>i</m:t>
                        </m:r>
                      </m:sub>
                      <m:sup>
                        <m:r>
                          <m:t>x</m:t>
                        </m:r>
                      </m:sup>
                    </m:sSubSup>
                  </m:e>
                </m:nary>
                <m:sSubSup>
                  <m:e>
                    <m:acc>
                      <m:accPr>
                        <m:chr m:val="̂"/>
                      </m:accPr>
                      <m:e>
                        <m:r>
                          <m:t>σ</m:t>
                        </m:r>
                      </m:e>
                    </m:acc>
                  </m:e>
                  <m:sub>
                    <m:r>
                      <m:t>i</m:t>
                    </m:r>
                    <m:r>
                      <m:rPr>
                        <m:sty m:val="p"/>
                      </m:rPr>
                      <m:t>+</m:t>
                    </m:r>
                    <m:r>
                      <m:t>1</m:t>
                    </m:r>
                  </m:sub>
                  <m:sup>
                    <m:r>
                      <m:t>x</m:t>
                    </m:r>
                  </m:sup>
                </m:sSubSup>
              </m:oMath>
            </m:oMathPara>
          </w:p>
        </w:tc>
        <w:tc>
          <w:tcPr>
            <w:tcW w:w="620" w:type="dxa"/>
            <w:vMerge w:val="restart"/>
            <w:vAlign w:val="center"/>
          </w:tcPr>
          <w:p>
            <w:pPr>
              <w:keepNext/>
              <w:spacing w:before="40" w:after="40" w:line="300" w:lineRule="auto"/>
              <w:jc w:val="right"/>
            </w:pPr>
            <w:r>
              <w:t>(13)</w:t>
            </w:r>
          </w:p>
        </w:tc>
      </w:tr>
      <w:tr>
        <w:trPr>
          <w:cantSplit/>
        </w:trPr>
        <w:tc>
          <w:tcPr>
            <w:tcW w:w="725" w:type="dxa"/>
            <w:vAlign w:val="center"/>
          </w:tcPr>
          <w:p>
            <w:pPr>
              <w:keepNext/>
              <w:spacing w:before="0" w:after="0" w:line="300" w:lineRule="auto"/>
              <w:jc w:val="right"/>
            </w:pPr>
          </w:p>
        </w:tc>
        <w:tc>
          <w:tcPr>
            <w:tcW w:w="2808" w:type="dxa"/>
            <w:vAlign w:val="center"/>
          </w:tcPr>
          <w:p>
            <w:pPr>
              <w:keepNext/>
              <w:spacing w:before="0" w:after="0" w:line="300" w:lineRule="auto"/>
              <w:jc w:val="left"/>
            </w:pPr>
            <m:oMathPara>
              <m:oMathParaPr>
                <m:jc m:val="left"/>
              </m:oMathParaPr>
              <m:oMath>
                <m:r>
                  <m:rPr>
                    <m:nor/>
                  </m:rPr>
                  <m:t xml:space="preserve"> </m:t>
                </m:r>
                <m:r>
                  <m:rPr>
                    <m:nor/>
                  </m:rPr>
                  <m:t>+</m:t>
                </m:r>
                <m:r>
                  <m:t>h</m:t>
                </m:r>
                <m:r>
                  <m:t> </m:t>
                </m:r>
                <m:r>
                  <m:rPr>
                    <m:nor/>
                  </m:rPr>
                  <m:t>[</m:t>
                </m:r>
                <m:r>
                  <m:t> </m:t>
                </m:r>
                <m:r>
                  <m:rPr>
                    <m:nor/>
                  </m:rPr>
                  <m:t>sgn</m:t>
                </m:r>
                <m:d>
                  <m:dPr>
                    <m:begChr m:val="("/>
                    <m:endChr m:val=")"/>
                    <m:grow/>
                  </m:dPr>
                  <m:e>
                    <m:r>
                      <m:rPr>
                        <m:sty m:val="p"/>
                      </m:rPr>
                      <m:t>sin</m:t>
                    </m:r>
                    <m:sSub>
                      <m:e>
                        <m:r>
                          <m:t>ω</m:t>
                        </m:r>
                      </m:e>
                      <m:sub>
                        <m:r>
                          <m:t>1</m:t>
                        </m:r>
                      </m:sub>
                    </m:sSub>
                    <m:r>
                      <m:t>t</m:t>
                    </m:r>
                  </m:e>
                </m:d>
              </m:oMath>
            </m:oMathPara>
          </w:p>
        </w:tc>
        <w:tc>
          <w:tcPr>
            <w:tcW w:w="620" w:type="dxa"/>
            <w:vMerge/>
            <w:vAlign w:val="center"/>
          </w:tcPr>
          <w:p>
            <w:pPr>
              <w:keepNext/>
              <w:spacing w:before="40" w:after="40" w:line="300" w:lineRule="auto"/>
              <w:jc w:val="right"/>
            </w:pPr>
          </w:p>
        </w:tc>
      </w:tr>
      <w:tr>
        <w:trPr>
          <w:cantSplit/>
        </w:trPr>
        <w:tc>
          <w:tcPr>
            <w:tcW w:w="725" w:type="dxa"/>
            <w:vAlign w:val="center"/>
          </w:tcPr>
          <w:p>
            <w:pPr>
              <w:spacing w:before="0" w:after="60" w:line="300" w:lineRule="auto"/>
              <w:jc w:val="right"/>
            </w:pPr>
          </w:p>
        </w:tc>
        <w:tc>
          <w:tcPr>
            <w:tcW w:w="2808" w:type="dxa"/>
            <w:vAlign w:val="center"/>
          </w:tcPr>
          <w:p>
            <w:pPr>
              <w:spacing w:before="0" w:after="60" w:line="300" w:lineRule="auto"/>
              <w:jc w:val="left"/>
            </w:pPr>
            <m:oMathPara>
              <m:oMathParaPr>
                <m:jc m:val="left"/>
              </m:oMathParaPr>
              <m:oMath>
                <m:r>
                  <m:rPr>
                    <m:nor/>
                  </m:rPr>
                  <m:t xml:space="preserve">  </m:t>
                </m:r>
                <m:r>
                  <m:rPr>
                    <m:nor/>
                  </m:rPr>
                  <m:t>−</m:t>
                </m:r>
                <m:r>
                  <m:rPr>
                    <m:nor/>
                  </m:rPr>
                  <m:t>sgn</m:t>
                </m:r>
                <m:d>
                  <m:dPr>
                    <m:begChr m:val="("/>
                    <m:endChr m:val=")"/>
                    <m:grow/>
                  </m:dPr>
                  <m:e>
                    <m:r>
                      <m:rPr>
                        <m:sty m:val="p"/>
                      </m:rPr>
                      <m:t>sin</m:t>
                    </m:r>
                    <m:sSub>
                      <m:e>
                        <m:r>
                          <m:t>ω</m:t>
                        </m:r>
                      </m:e>
                      <m:sub>
                        <m:r>
                          <m:t>2</m:t>
                        </m:r>
                      </m:sub>
                    </m:sSub>
                    <m:r>
                      <m:t>t</m:t>
                    </m:r>
                  </m:e>
                </m:d>
                <m:r>
                  <m:t> </m:t>
                </m:r>
                <m:r>
                  <m:rPr>
                    <m:nor/>
                  </m:rPr>
                  <m:t>]</m:t>
                </m:r>
                <m:nary>
                  <m:naryPr>
                    <m:chr m:val="∑"/>
                    <m:limLoc m:val="undOvr"/>
                    <m:subHide m:val="off"/>
                    <m:supHide m:val="on"/>
                  </m:naryPr>
                  <m:sub>
                    <m:r>
                      <m:t>i</m:t>
                    </m:r>
                  </m:sub>
                  <m:sup>
                    <m:r>
                      <m:t>​</m:t>
                    </m:r>
                  </m:sup>
                  <m:e>
                    <m:sSubSup>
                      <m:e>
                        <m:acc>
                          <m:accPr>
                            <m:chr m:val="̂"/>
                          </m:accPr>
                          <m:e>
                            <m:r>
                              <m:t>σ</m:t>
                            </m:r>
                          </m:e>
                        </m:acc>
                      </m:e>
                      <m:sub>
                        <m:r>
                          <m:t>i</m:t>
                        </m:r>
                      </m:sub>
                      <m:sup>
                        <m:r>
                          <m:t>z</m:t>
                        </m:r>
                      </m:sup>
                    </m:sSubSup>
                  </m:e>
                </m:nary>
                <m:r>
                  <m:rPr>
                    <m:sty m:val="p"/>
                  </m:rPr>
                  <m:t>,</m:t>
                </m:r>
              </m:oMath>
            </m:oMathPara>
          </w:p>
        </w:tc>
        <w:tc>
          <w:tcPr>
            <w:tcW w:w="620" w:type="dxa"/>
            <w:vMerge/>
            <w:vAlign w:val="center"/>
          </w:tcPr>
          <w:p>
            <w:pPr>
              <w:spacing w:before="40" w:after="40" w:line="300" w:lineRule="auto"/>
              <w:jc w:val="right"/>
            </w:pPr>
          </w:p>
        </w:tc>
      </w:tr>
    </w:tbl>
    <w:p>
      <w:pPr>
        <w:pStyle w:val="FirstParagraph"/>
      </w:pPr>
      <w:r>
        <w:t xml:space="preserve">where sgn denotes the sign function. For the commensurate choice of drive frequencies specified above, the two-tone protocol cancels the interaction contribution over a driving cycle. The resulting flat quasienergy bands produce dynamical localization and thereby suppress heating. When combined with a binary Floquet protocol that includes a spin flip operation, this localization mechanism stabilizes a subharmonic response. If the cancellation were exact, however, the evolution during</w:t>
      </w:r>
      <w:r>
        <w:t xml:space="preserve"> </w:t>
      </w:r>
      <m:oMath>
        <m:sSub>
          <m:e>
            <m:r>
              <m:t>T</m:t>
            </m:r>
          </m:e>
          <m:sub>
            <m:r>
              <m:t>2</m:t>
            </m:r>
          </m:sub>
        </m:sSub>
      </m:oMath>
      <w:r>
        <w:t xml:space="preserve"> </w:t>
      </w:r>
      <w:r>
        <w:t xml:space="preserve">would act trivially and could not correct spin-rotation errors. As in Fig. 2, the response would then not be locked. Small residual interactions restore this rigidity and stabilize the response against spin-rotation errors, which act as external perturbations. Rahaman and Roy (2026) showed that Floquet flat bands of this kind enable discrete time crystalline order in spin chains, with a robust period doubled stroboscopic magnetization. Thus, this protocol provides a route to realizing clean DTC order without relying on quenched disorder.</w:t>
      </w:r>
    </w:p>
    <w:bookmarkEnd w:id="28"/>
    <w:bookmarkEnd w:id="29"/>
    <w:bookmarkStart w:id="32" w:name="X562855d19ac8de02a17db355dea5ea856a4ec0f"/>
    <w:p>
      <w:pPr>
        <w:pStyle w:val="Heading1"/>
      </w:pPr>
      <w:r>
        <w:t xml:space="preserve">III. INTEGRABILITY AND THE (USUAL) ABSENCE OF OSCILLATIONS</w:t>
      </w:r>
    </w:p>
    <w:p>
      <w:pPr>
        <w:pStyle w:val="FirstParagraph"/>
      </w:pPr>
      <w:r>
        <w:t xml:space="preserve">An integrable many-body system has an extensive set of local or quasi-local conserved charges</w:t>
      </w:r>
      <w:r>
        <w:t xml:space="preserve"> </w:t>
      </w:r>
      <m:oMath>
        <m:r>
          <m:rPr>
            <m:sty m:val="p"/>
          </m:rPr>
          <m:t>{</m:t>
        </m:r>
        <m:sSub>
          <m:e>
            <m:acc>
              <m:accPr>
                <m:chr m:val="̂"/>
              </m:accPr>
              <m:e>
                <m:r>
                  <m:t>Q</m:t>
                </m:r>
              </m:e>
            </m:acc>
          </m:e>
          <m:sub>
            <m:r>
              <m:t>j</m:t>
            </m:r>
          </m:sub>
        </m:sSub>
        <m:r>
          <m:rPr>
            <m:sty m:val="p"/>
          </m:rPr>
          <m:t>}</m:t>
        </m:r>
      </m:oMath>
      <w:r>
        <w:t xml:space="preserve"> </w:t>
      </w:r>
      <w:r>
        <w:t xml:space="preserve">with</w:t>
      </w:r>
      <w:r>
        <w:t xml:space="preserve"> </w:t>
      </w:r>
      <m:oMath>
        <m:d>
          <m:dPr>
            <m:begChr m:val="["/>
            <m:endChr m:val="]"/>
            <m:grow/>
          </m:dPr>
          <m:e>
            <m:acc>
              <m:accPr>
                <m:chr m:val="̂"/>
              </m:accPr>
              <m:e>
                <m:r>
                  <m:t>H</m:t>
                </m:r>
              </m:e>
            </m:acc>
            <m:r>
              <m:rPr>
                <m:sty m:val="p"/>
              </m:rPr>
              <m:t>,</m:t>
            </m:r>
            <m:sSub>
              <m:e>
                <m:acc>
                  <m:accPr>
                    <m:chr m:val="̂"/>
                  </m:accPr>
                  <m:e>
                    <m:r>
                      <m:t>Q</m:t>
                    </m:r>
                  </m:e>
                </m:acc>
              </m:e>
              <m:sub>
                <m:r>
                  <m:t>j</m:t>
                </m:r>
              </m:sub>
            </m:sSub>
          </m:e>
        </m:d>
        <m:r>
          <m:rPr>
            <m:sty m:val="p"/>
          </m:rPr>
          <m:t>=</m:t>
        </m:r>
        <m:d>
          <m:dPr>
            <m:begChr m:val="["/>
            <m:endChr m:val="]"/>
            <m:grow/>
          </m:dPr>
          <m:e>
            <m:sSub>
              <m:e>
                <m:acc>
                  <m:accPr>
                    <m:chr m:val="̂"/>
                  </m:accPr>
                  <m:e>
                    <m:r>
                      <m:t>Q</m:t>
                    </m:r>
                  </m:e>
                </m:acc>
              </m:e>
              <m:sub>
                <m:r>
                  <m:t>j</m:t>
                </m:r>
              </m:sub>
            </m:sSub>
            <m:r>
              <m:rPr>
                <m:sty m:val="p"/>
              </m:rPr>
              <m:t>,</m:t>
            </m:r>
            <m:sSub>
              <m:e>
                <m:acc>
                  <m:accPr>
                    <m:chr m:val="̂"/>
                  </m:accPr>
                  <m:e>
                    <m:r>
                      <m:t>Q</m:t>
                    </m:r>
                  </m:e>
                </m:acc>
              </m:e>
              <m:sub>
                <m:r>
                  <m:t>l</m:t>
                </m:r>
              </m:sub>
            </m:sSub>
          </m:e>
        </m:d>
        <m:r>
          <m:rPr>
            <m:sty m:val="p"/>
          </m:rPr>
          <m:t>=</m:t>
        </m:r>
        <m:r>
          <m:t>0</m:t>
        </m:r>
      </m:oMath>
      <w:r>
        <w:t xml:space="preserve"> </w:t>
      </w:r>
      <w:r>
        <w:t xml:space="preserve">(Essler &amp; Fagotti, 2016; Ilievski et al., 2016). Free-fermion models such as the transverse-field Ising chain (Lieb et al., 1961; Pfeuty, 1970) belong to this class, as do interacting Bethe-ansatz-solvable models such as the XXZ and Hubbard chains. Because these charges constrain the dynamics, integrable systems do not thermalize. After a quench they relax locally to a generalized Gibbs ensemble (GGE) (Ilievski et al., 2015; Rigol et al., 2007; Vidmar &amp; Rigol, 2016),</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3533"/>
        <w:gridCol w:w="620"/>
      </w:tblGrid>
      <w:tr>
        <w:trPr>
          <w:cantSplit/>
        </w:trPr>
        <w:tc>
          <w:tcPr>
            <w:tcW w:w="3533" w:type="dxa"/>
            <w:vAlign w:val="center"/>
          </w:tcPr>
          <w:p>
            <w:pPr>
              <w:spacing w:before="60" w:after="60" w:line="300" w:lineRule="auto"/>
              <w:jc w:val="center"/>
            </w:pPr>
            <m:oMathPara>
              <m:oMathParaPr>
                <m:jc m:val="center"/>
              </m:oMathParaPr>
              <m:oMath>
                <m:sSub>
                  <m:e>
                    <m:acc>
                      <m:accPr>
                        <m:chr m:val="̂"/>
                      </m:accPr>
                      <m:e>
                        <m:r>
                          <m:t>ρ</m:t>
                        </m:r>
                      </m:e>
                    </m:acc>
                  </m:e>
                  <m:sub>
                    <m:r>
                      <m:rPr>
                        <m:nor/>
                      </m:rPr>
                      <m:t>GGE</m:t>
                    </m:r>
                  </m:sub>
                </m:sSub>
                <m:r>
                  <m:rPr>
                    <m:sty m:val="p"/>
                  </m:rPr>
                  <m:t>=</m:t>
                </m:r>
                <m:f>
                  <m:fPr>
                    <m:type m:val="bar"/>
                  </m:fPr>
                  <m:num>
                    <m:r>
                      <m:t>1</m:t>
                    </m:r>
                  </m:num>
                  <m:den>
                    <m:r>
                      <m:t>Z</m:t>
                    </m:r>
                  </m:den>
                </m:f>
                <m:r>
                  <m:rPr>
                    <m:sty m:val="p"/>
                  </m:rPr>
                  <m:t>exp</m:t>
                </m:r>
                <m:d>
                  <m:dPr>
                    <m:begChr m:val="("/>
                    <m:endChr m:val=")"/>
                    <m:grow/>
                  </m:dPr>
                  <m:e>
                    <m:r>
                      <m:rPr>
                        <m:sty m:val="p"/>
                      </m:rPr>
                      <m:t>−</m:t>
                    </m:r>
                    <m:nary>
                      <m:naryPr>
                        <m:chr m:val="∑"/>
                        <m:limLoc m:val="undOvr"/>
                        <m:subHide m:val="off"/>
                        <m:supHide m:val="on"/>
                      </m:naryPr>
                      <m:sub>
                        <m:r>
                          <m:t>j</m:t>
                        </m:r>
                      </m:sub>
                      <m:sup>
                        <m:r>
                          <m:t>​</m:t>
                        </m:r>
                      </m:sup>
                      <m:e>
                        <m:sSub>
                          <m:e>
                            <m:r>
                              <m:t>β</m:t>
                            </m:r>
                          </m:e>
                          <m:sub>
                            <m:r>
                              <m:t>j</m:t>
                            </m:r>
                          </m:sub>
                        </m:sSub>
                      </m:e>
                    </m:nary>
                    <m:sSub>
                      <m:e>
                        <m:acc>
                          <m:accPr>
                            <m:chr m:val="̂"/>
                          </m:accPr>
                          <m:e>
                            <m:r>
                              <m:t>Q</m:t>
                            </m:r>
                          </m:e>
                        </m:acc>
                      </m:e>
                      <m:sub>
                        <m:r>
                          <m:t>j</m:t>
                        </m:r>
                      </m:sub>
                    </m:sSub>
                  </m:e>
                </m:d>
                <m:r>
                  <m:rPr>
                    <m:sty m:val="p"/>
                  </m:rPr>
                  <m:t>,</m:t>
                </m:r>
              </m:oMath>
            </m:oMathPara>
          </w:p>
        </w:tc>
        <w:tc>
          <w:tcPr>
            <w:tcW w:w="620" w:type="dxa"/>
            <w:vAlign w:val="center"/>
          </w:tcPr>
          <w:p>
            <w:pPr>
              <w:spacing w:before="40" w:after="40" w:line="300" w:lineRule="auto"/>
              <w:jc w:val="right"/>
            </w:pPr>
            <w:r>
              <w:t>(14)</w:t>
            </w:r>
          </w:p>
        </w:tc>
      </w:tr>
    </w:tbl>
    <w:p>
      <w:pPr>
        <w:pStyle w:val="FirstParagraph"/>
      </w:pPr>
      <w:r>
        <w:t xml:space="preserve">where the Lagrange multipliers</w:t>
      </w:r>
      <w:r>
        <w:t xml:space="preserve"> </w:t>
      </w:r>
      <m:oMath>
        <m:sSub>
          <m:e>
            <m:r>
              <m:t>β</m:t>
            </m:r>
          </m:e>
          <m:sub>
            <m:r>
              <m:t>j</m:t>
            </m:r>
          </m:sub>
        </m:sSub>
      </m:oMath>
      <w:r>
        <w:t xml:space="preserve"> </w:t>
      </w:r>
      <w:r>
        <w:t xml:space="preserve">are fixed by the initial values</w:t>
      </w:r>
      <w:r>
        <w:t xml:space="preserve"> </w:t>
      </w:r>
      <m:oMath>
        <m:r>
          <m:rPr>
            <m:sty m:val="p"/>
          </m:rPr>
          <m:t>⟨</m:t>
        </m:r>
        <m:sSub>
          <m:e>
            <m:acc>
              <m:accPr>
                <m:chr m:val="̂"/>
              </m:accPr>
              <m:e>
                <m:r>
                  <m:t>Q</m:t>
                </m:r>
              </m:e>
            </m:acc>
          </m:e>
          <m:sub>
            <m:r>
              <m:t>j</m:t>
            </m:r>
          </m:sub>
        </m:sSub>
        <m:r>
          <m:rPr>
            <m:sty m:val="p"/>
          </m:rPr>
          <m:t>⟩</m:t>
        </m:r>
      </m:oMath>
      <w:r>
        <w:t xml:space="preserve">. The quantum Newton’s cradle (Kinoshita et al., 2006) demonstrates this memory of initial conditions. Periodically driven integrable systems similarly relax to a periodic GGE (Lazarides et al., 2014b).</w:t>
      </w:r>
    </w:p>
    <w:p>
      <w:pPr>
        <w:pStyle w:val="BodyText"/>
      </w:pPr>
      <w:r>
        <w:t xml:space="preserve">Note that integrable systems</w:t>
      </w:r>
      <w:r>
        <w:t xml:space="preserve"> </w:t>
      </w:r>
      <w:r>
        <w:rPr>
          <w:iCs/>
          <w:i/>
        </w:rPr>
        <w:t xml:space="preserve">do</w:t>
      </w:r>
      <w:r>
        <w:t xml:space="preserve"> </w:t>
      </w:r>
      <w:r>
        <w:t xml:space="preserve">relax, just not to a thermal state. Expand the state in energy eigenstates,</w:t>
      </w:r>
      <w:r>
        <w:t xml:space="preserve"> </w:t>
      </w:r>
      <m:oMath>
        <m:r>
          <m:rPr>
            <m:nor/>
          </m:rPr>
          <m:t>|</m:t>
        </m:r>
        <m:r>
          <m:t>ψ</m:t>
        </m:r>
        <m:r>
          <m:rPr>
            <m:sty m:val="p"/>
          </m:rPr>
          <m:t>⟩</m:t>
        </m:r>
        <m:r>
          <m:rPr>
            <m:sty m:val="p"/>
          </m:rPr>
          <m:t>=</m:t>
        </m:r>
        <m:nary>
          <m:naryPr>
            <m:chr m:val="∑"/>
            <m:limLoc m:val="undOvr"/>
            <m:subHide m:val="off"/>
            <m:supHide m:val="on"/>
          </m:naryPr>
          <m:sub>
            <m:r>
              <m:t>m</m:t>
            </m:r>
          </m:sub>
          <m:sup>
            <m:r>
              <m:t>​</m:t>
            </m:r>
          </m:sup>
          <m:e>
            <m:sSub>
              <m:e>
                <m:r>
                  <m:t>c</m:t>
                </m:r>
              </m:e>
              <m:sub>
                <m:r>
                  <m:t>m</m:t>
                </m:r>
              </m:sub>
            </m:sSub>
          </m:e>
        </m:nary>
        <m:r>
          <m:rPr>
            <m:nor/>
          </m:rPr>
          <m:t>|</m:t>
        </m:r>
        <m:r>
          <m:t>m</m:t>
        </m:r>
        <m:r>
          <m:rPr>
            <m:sty m:val="p"/>
          </m:rPr>
          <m:t>⟩</m:t>
        </m:r>
      </m:oMath>
      <w:r>
        <w:t xml:space="preserve">. Then</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900"/>
        <w:gridCol w:w="2633"/>
        <w:gridCol w:w="620"/>
      </w:tblGrid>
      <w:tr>
        <w:trPr>
          <w:cantSplit/>
        </w:trPr>
        <w:tc>
          <w:tcPr>
            <w:tcW w:w="900" w:type="dxa"/>
            <w:vAlign w:val="center"/>
          </w:tcPr>
          <w:p>
            <w:pPr>
              <w:keepNext/>
              <w:spacing w:before="60" w:after="0" w:line="300" w:lineRule="auto"/>
              <w:jc w:val="right"/>
            </w:pPr>
            <m:oMathPara>
              <m:oMathParaPr>
                <m:jc m:val="right"/>
              </m:oMathParaPr>
              <m:oMath>
                <m:r>
                  <m:rPr>
                    <m:sty m:val="p"/>
                  </m:rPr>
                  <m:t>⟨</m:t>
                </m:r>
                <m:acc>
                  <m:accPr>
                    <m:chr m:val="̂"/>
                  </m:accPr>
                  <m:e>
                    <m:r>
                      <m:t>O</m:t>
                    </m:r>
                  </m:e>
                </m:acc>
                <m:d>
                  <m:dPr>
                    <m:begChr m:val="("/>
                    <m:endChr m:val=")"/>
                    <m:grow/>
                  </m:dPr>
                  <m:e>
                    <m:r>
                      <m:t>t</m:t>
                    </m:r>
                  </m:e>
                </m:d>
                <m:r>
                  <m:rPr>
                    <m:sty m:val="p"/>
                  </m:rPr>
                  <m:t>⟩</m:t>
                </m:r>
              </m:oMath>
            </m:oMathPara>
          </w:p>
        </w:tc>
        <w:tc>
          <w:tcPr>
            <w:tcW w:w="2633" w:type="dxa"/>
            <w:vAlign w:val="center"/>
          </w:tcPr>
          <w:p>
            <w:pPr>
              <w:keepNext/>
              <w:spacing w:before="60" w:after="0" w:line="300" w:lineRule="auto"/>
              <w:jc w:val="left"/>
            </w:pPr>
            <m:oMathPara>
              <m:oMathParaPr>
                <m:jc m:val="left"/>
              </m:oMathParaPr>
              <m:oMath>
                <m:r>
                  <m:rPr>
                    <m:nor/>
                  </m:rPr>
                  <m:t>=</m:t>
                </m:r>
                <m:nary>
                  <m:naryPr>
                    <m:chr m:val="∑"/>
                    <m:limLoc m:val="undOvr"/>
                    <m:subHide m:val="off"/>
                    <m:supHide m:val="on"/>
                  </m:naryPr>
                  <m:sub>
                    <m:r>
                      <m:t>m</m:t>
                    </m:r>
                  </m:sub>
                  <m:sup>
                    <m:r>
                      <m:t>​</m:t>
                    </m:r>
                  </m:sup>
                  <m:e>
                    <m:sSup>
                      <m:e>
                        <m:d>
                          <m:dPr>
                            <m:begChr m:val="|"/>
                            <m:endChr m:val="|"/>
                            <m:grow/>
                          </m:dPr>
                          <m:e>
                            <m:sSub>
                              <m:e>
                                <m:r>
                                  <m:t>c</m:t>
                                </m:r>
                              </m:e>
                              <m:sub>
                                <m:r>
                                  <m:t>m</m:t>
                                </m:r>
                              </m:sub>
                            </m:sSub>
                          </m:e>
                        </m:d>
                      </m:e>
                      <m:sup>
                        <m:r>
                          <m:t>2</m:t>
                        </m:r>
                      </m:sup>
                    </m:sSup>
                  </m:e>
                </m:nary>
                <m:sSub>
                  <m:e>
                    <m:r>
                      <m:t>O</m:t>
                    </m:r>
                  </m:e>
                  <m:sub>
                    <m:r>
                      <m:t>m</m:t>
                    </m:r>
                    <m:r>
                      <m:t>m</m:t>
                    </m:r>
                  </m:sub>
                </m:sSub>
              </m:oMath>
            </m:oMathPara>
          </w:p>
        </w:tc>
        <w:tc>
          <w:tcPr>
            <w:tcW w:w="620" w:type="dxa"/>
            <w:vMerge w:val="restart"/>
            <w:vAlign w:val="center"/>
          </w:tcPr>
          <w:p>
            <w:pPr>
              <w:keepNext/>
              <w:spacing w:before="40" w:after="40" w:line="300" w:lineRule="auto"/>
              <w:jc w:val="right"/>
            </w:pPr>
            <w:r>
              <w:t>(15)</w:t>
            </w:r>
          </w:p>
        </w:tc>
      </w:tr>
      <w:tr>
        <w:trPr>
          <w:cantSplit/>
        </w:trPr>
        <w:tc>
          <w:tcPr>
            <w:tcW w:w="900" w:type="dxa"/>
            <w:vAlign w:val="center"/>
          </w:tcPr>
          <w:p>
            <w:pPr>
              <w:spacing w:before="0" w:after="60" w:line="300" w:lineRule="auto"/>
              <w:jc w:val="right"/>
            </w:pPr>
          </w:p>
        </w:tc>
        <w:tc>
          <w:tcPr>
            <w:tcW w:w="2633" w:type="dxa"/>
            <w:vAlign w:val="center"/>
          </w:tcPr>
          <w:p>
            <w:pPr>
              <w:spacing w:before="0" w:after="60" w:line="300" w:lineRule="auto"/>
              <w:jc w:val="left"/>
            </w:pPr>
            <m:oMathPara>
              <m:oMathParaPr>
                <m:jc m:val="left"/>
              </m:oMathParaPr>
              <m:oMath>
                <m:r>
                  <m:rPr>
                    <m:nor/>
                  </m:rPr>
                  <m:t xml:space="preserve"> </m:t>
                </m:r>
                <m:r>
                  <m:rPr>
                    <m:nor/>
                  </m:rPr>
                  <m:t>+</m:t>
                </m:r>
                <m:nary>
                  <m:naryPr>
                    <m:chr m:val="∑"/>
                    <m:limLoc m:val="undOvr"/>
                    <m:subHide m:val="off"/>
                    <m:supHide m:val="on"/>
                  </m:naryPr>
                  <m:sub>
                    <m:r>
                      <m:t>m</m:t>
                    </m:r>
                    <m:r>
                      <m:rPr>
                        <m:sty m:val="p"/>
                      </m:rPr>
                      <m:t>≠</m:t>
                    </m:r>
                    <m:r>
                      <m:t>n</m:t>
                    </m:r>
                  </m:sub>
                  <m:sup>
                    <m:r>
                      <m:t>​</m:t>
                    </m:r>
                  </m:sup>
                  <m:e>
                    <m:sSubSup>
                      <m:e>
                        <m:r>
                          <m:t>c</m:t>
                        </m:r>
                      </m:e>
                      <m:sub>
                        <m:r>
                          <m:t>m</m:t>
                        </m:r>
                      </m:sub>
                      <m:sup>
                        <m:r>
                          <m:rPr>
                            <m:nor/>
                          </m:rPr>
                          <m:t>*</m:t>
                        </m:r>
                      </m:sup>
                    </m:sSubSup>
                  </m:e>
                </m:nary>
                <m:sSub>
                  <m:e>
                    <m:r>
                      <m:t>c</m:t>
                    </m:r>
                  </m:e>
                  <m:sub>
                    <m:r>
                      <m:t>n</m:t>
                    </m:r>
                  </m:sub>
                </m:sSub>
                <m:r>
                  <m:t> </m:t>
                </m:r>
                <m:sSub>
                  <m:e>
                    <m:r>
                      <m:t>O</m:t>
                    </m:r>
                  </m:e>
                  <m:sub>
                    <m:r>
                      <m:t>m</m:t>
                    </m:r>
                    <m:r>
                      <m:t>n</m:t>
                    </m:r>
                  </m:sub>
                </m:sSub>
                <m:r>
                  <m:t> </m:t>
                </m:r>
                <m:sSup>
                  <m:e>
                    <m:r>
                      <m:t>e</m:t>
                    </m:r>
                  </m:e>
                  <m:sup>
                    <m:r>
                      <m:t>i</m:t>
                    </m:r>
                    <m:d>
                      <m:dPr>
                        <m:begChr m:val="("/>
                        <m:endChr m:val=")"/>
                        <m:grow/>
                      </m:dPr>
                      <m:e>
                        <m:sSub>
                          <m:e>
                            <m:r>
                              <m:t>E</m:t>
                            </m:r>
                          </m:e>
                          <m:sub>
                            <m:r>
                              <m:t>m</m:t>
                            </m:r>
                          </m:sub>
                        </m:sSub>
                        <m:r>
                          <m:rPr>
                            <m:sty m:val="p"/>
                          </m:rPr>
                          <m:t>−</m:t>
                        </m:r>
                        <m:sSub>
                          <m:e>
                            <m:r>
                              <m:t>E</m:t>
                            </m:r>
                          </m:e>
                          <m:sub>
                            <m:r>
                              <m:t>n</m:t>
                            </m:r>
                          </m:sub>
                        </m:sSub>
                      </m:e>
                    </m:d>
                    <m:r>
                      <m:t>t</m:t>
                    </m:r>
                  </m:sup>
                </m:sSup>
                <m:r>
                  <m:rPr>
                    <m:nor/>
                  </m:rPr>
                  <m:t>.</m:t>
                </m:r>
              </m:oMath>
            </m:oMathPara>
          </w:p>
        </w:tc>
        <w:tc>
          <w:tcPr>
            <w:tcW w:w="620" w:type="dxa"/>
            <w:vMerge/>
            <w:vAlign w:val="center"/>
          </w:tcPr>
          <w:p>
            <w:pPr>
              <w:spacing w:before="40" w:after="40" w:line="300" w:lineRule="auto"/>
              <w:jc w:val="right"/>
            </w:pPr>
          </w:p>
        </w:tc>
      </w:tr>
    </w:tbl>
    <w:p>
      <w:pPr>
        <w:pStyle w:val="FirstParagraph"/>
      </w:pPr>
      <w:r>
        <w:t xml:space="preserve">In the thermodynamic limit, the energy differences</w:t>
      </w:r>
      <w:r>
        <w:t xml:space="preserve"> </w:t>
      </w:r>
      <m:oMath>
        <m:sSub>
          <m:e>
            <m:r>
              <m:t>E</m:t>
            </m:r>
          </m:e>
          <m:sub>
            <m:r>
              <m:t>m</m:t>
            </m:r>
          </m:sub>
        </m:sSub>
        <m:r>
          <m:rPr>
            <m:sty m:val="p"/>
          </m:rPr>
          <m:t>−</m:t>
        </m:r>
        <m:sSub>
          <m:e>
            <m:r>
              <m:t>E</m:t>
            </m:r>
          </m:e>
          <m:sub>
            <m:r>
              <m:t>n</m:t>
            </m:r>
          </m:sub>
        </m:sSub>
      </m:oMath>
      <w:r>
        <w:t xml:space="preserve"> </w:t>
      </w:r>
      <w:r>
        <w:t xml:space="preserve">form a continuum. When the weights</w:t>
      </w:r>
      <w:r>
        <w:t xml:space="preserve"> </w:t>
      </w:r>
      <m:oMath>
        <m:sSubSup>
          <m:e>
            <m:r>
              <m:t>c</m:t>
            </m:r>
          </m:e>
          <m:sub>
            <m:r>
              <m:t>m</m:t>
            </m:r>
          </m:sub>
          <m:sup>
            <m:r>
              <m:rPr>
                <m:nor/>
              </m:rPr>
              <m:t>*</m:t>
            </m:r>
          </m:sup>
        </m:sSubSup>
        <m:sSub>
          <m:e>
            <m:r>
              <m:t>c</m:t>
            </m:r>
          </m:e>
          <m:sub>
            <m:r>
              <m:t>n</m:t>
            </m:r>
          </m:sub>
        </m:sSub>
        <m:sSub>
          <m:e>
            <m:r>
              <m:t>O</m:t>
            </m:r>
          </m:e>
          <m:sub>
            <m:r>
              <m:t>m</m:t>
            </m:r>
            <m:r>
              <m:t>n</m:t>
            </m:r>
          </m:sub>
        </m:sSub>
      </m:oMath>
      <w:r>
        <w:t xml:space="preserve"> </w:t>
      </w:r>
      <w:r>
        <w:t xml:space="preserve">are smoothly distributed over it, the second term dephases by the Riemann-Lebesgue lemma, leaving only the diagonal (GGE) part. For a periodically driven system, the same argument applies at stroboscopic times</w:t>
      </w:r>
      <w:r>
        <w:t xml:space="preserve"> </w:t>
      </w:r>
      <m:oMath>
        <m:r>
          <m:t>t</m:t>
        </m:r>
        <m:r>
          <m:rPr>
            <m:sty m:val="p"/>
          </m:rPr>
          <m:t>=</m:t>
        </m:r>
        <m:r>
          <m:t>n</m:t>
        </m:r>
        <m:r>
          <m:t>T</m:t>
        </m:r>
      </m:oMath>
      <w:r>
        <w:t xml:space="preserve">, with energies replaced by quasienergies. Conserved charges with finite overlap with an observable bound the time average of its autocorrelation function from below (Mazur, 1969; Suzuki, 1971), but this bound concerns the stationary part of the response rather than oscillations. Conservation laws therefore determine</w:t>
      </w:r>
      <w:r>
        <w:t xml:space="preserve"> </w:t>
      </w:r>
      <w:r>
        <w:rPr>
          <w:iCs/>
          <w:i/>
        </w:rPr>
        <w:t xml:space="preserve">where</w:t>
      </w:r>
      <w:r>
        <w:t xml:space="preserve"> </w:t>
      </w:r>
      <w:r>
        <w:t xml:space="preserve">the system relaxes, but they do not by themselves prevent relaxation. Persistent oscillations require more: the spectrum must contain an extensive set of exactly commensurate energy differences, and these differences must contribute finite weight to local observables. Section III A explains what algebraic structure gives rise to such commensurability, and Sec. III B discusses its realization in free-fermion models.</w:t>
      </w:r>
    </w:p>
    <w:bookmarkStart w:id="30" w:name="a.-dynamical-symmetries"/>
    <w:p>
      <w:pPr>
        <w:pStyle w:val="Heading2"/>
      </w:pPr>
      <w:r>
        <w:t xml:space="preserve">A. Dynamical symmetries</w:t>
      </w:r>
    </w:p>
    <w:p>
      <w:pPr>
        <w:pStyle w:val="FirstParagraph"/>
      </w:pPr>
      <w:r>
        <w:t xml:space="preserve">The algebraic structure that produces exactly commensurate energy differences is a dynamical symmetry (Buča et al., 2019; Medenjak et al., 2020). An operator</w:t>
      </w:r>
      <w:r>
        <w:t xml:space="preserve"> </w:t>
      </w:r>
      <m:oMath>
        <m:acc>
          <m:accPr>
            <m:chr m:val="̂"/>
          </m:accPr>
          <m:e>
            <m:r>
              <m:t>A</m:t>
            </m:r>
          </m:e>
        </m:acc>
      </m:oMath>
      <w:r>
        <w:t xml:space="preserve"> </w:t>
      </w:r>
      <w:r>
        <w:t xml:space="preserve">is a dynamical symmetry of a time-independent Hamiltonian if</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3533"/>
        <w:gridCol w:w="620"/>
      </w:tblGrid>
      <w:tr>
        <w:trPr>
          <w:cantSplit/>
        </w:trPr>
        <w:tc>
          <w:tcPr>
            <w:tcW w:w="3533" w:type="dxa"/>
            <w:vAlign w:val="center"/>
          </w:tcPr>
          <w:p>
            <w:pPr>
              <w:spacing w:before="60" w:after="60" w:line="300" w:lineRule="auto"/>
              <w:jc w:val="center"/>
            </w:pPr>
            <m:oMathPara>
              <m:oMathParaPr>
                <m:jc m:val="center"/>
              </m:oMathParaPr>
              <m:oMath>
                <m:d>
                  <m:dPr>
                    <m:begChr m:val="["/>
                    <m:endChr m:val="]"/>
                    <m:grow/>
                  </m:dPr>
                  <m:e>
                    <m:acc>
                      <m:accPr>
                        <m:chr m:val="̂"/>
                      </m:accPr>
                      <m:e>
                        <m:r>
                          <m:t>H</m:t>
                        </m:r>
                      </m:e>
                    </m:acc>
                    <m:r>
                      <m:rPr>
                        <m:sty m:val="p"/>
                      </m:rPr>
                      <m:t>,</m:t>
                    </m:r>
                    <m:acc>
                      <m:accPr>
                        <m:chr m:val="̂"/>
                      </m:accPr>
                      <m:e>
                        <m:r>
                          <m:t>A</m:t>
                        </m:r>
                      </m:e>
                    </m:acc>
                  </m:e>
                </m:d>
                <m:r>
                  <m:rPr>
                    <m:sty m:val="p"/>
                  </m:rPr>
                  <m:t>=</m:t>
                </m:r>
                <m:r>
                  <m:t>ω</m:t>
                </m:r>
                <m:acc>
                  <m:accPr>
                    <m:chr m:val="̂"/>
                  </m:accPr>
                  <m:e>
                    <m:r>
                      <m:t>A</m:t>
                    </m:r>
                  </m:e>
                </m:acc>
                <m:r>
                  <m:rPr>
                    <m:sty m:val="p"/>
                  </m:rPr>
                  <m:t>,</m:t>
                </m:r>
              </m:oMath>
            </m:oMathPara>
          </w:p>
        </w:tc>
        <w:tc>
          <w:tcPr>
            <w:tcW w:w="620" w:type="dxa"/>
            <w:vAlign w:val="center"/>
          </w:tcPr>
          <w:p>
            <w:pPr>
              <w:spacing w:before="40" w:after="40" w:line="300" w:lineRule="auto"/>
              <w:jc w:val="right"/>
            </w:pPr>
            <w:r>
              <w:t>(16)</w:t>
            </w:r>
          </w:p>
        </w:tc>
      </w:tr>
    </w:tbl>
    <w:p>
      <w:pPr>
        <w:pStyle w:val="FirstParagraph"/>
      </w:pPr>
      <w:r>
        <w:t xml:space="preserve">with</w:t>
      </w:r>
      <w:r>
        <w:t xml:space="preserve"> </w:t>
      </w:r>
      <m:oMath>
        <m:r>
          <m:t>ω</m:t>
        </m:r>
      </m:oMath>
      <w:r>
        <w:t xml:space="preserve"> </w:t>
      </w:r>
      <w:r>
        <w:t xml:space="preserve">real. It follows that</w:t>
      </w:r>
      <w:r>
        <w:t xml:space="preserve"> </w:t>
      </w:r>
      <m:oMath>
        <m:acc>
          <m:accPr>
            <m:chr m:val="̂"/>
          </m:accPr>
          <m:e>
            <m:r>
              <m:t>A</m:t>
            </m:r>
          </m:e>
        </m:acc>
        <m:d>
          <m:dPr>
            <m:begChr m:val="("/>
            <m:endChr m:val=")"/>
            <m:grow/>
          </m:dPr>
          <m:e>
            <m:r>
              <m:t>t</m:t>
            </m:r>
          </m:e>
        </m:d>
        <m:r>
          <m:rPr>
            <m:sty m:val="p"/>
          </m:rPr>
          <m:t>=</m:t>
        </m:r>
        <m:sSup>
          <m:e>
            <m:r>
              <m:t>e</m:t>
            </m:r>
          </m:e>
          <m:sup>
            <m:r>
              <m:t>i</m:t>
            </m:r>
            <m:acc>
              <m:accPr>
                <m:chr m:val="̂"/>
              </m:accPr>
              <m:e>
                <m:r>
                  <m:t>H</m:t>
                </m:r>
              </m:e>
            </m:acc>
            <m:r>
              <m:t>t</m:t>
            </m:r>
          </m:sup>
        </m:sSup>
        <m:acc>
          <m:accPr>
            <m:chr m:val="̂"/>
          </m:accPr>
          <m:e>
            <m:r>
              <m:t>A</m:t>
            </m:r>
          </m:e>
        </m:acc>
        <m:sSup>
          <m:e>
            <m:r>
              <m:t>e</m:t>
            </m:r>
          </m:e>
          <m:sup>
            <m:r>
              <m:rPr>
                <m:sty m:val="p"/>
              </m:rPr>
              <m:t>−</m:t>
            </m:r>
            <m:r>
              <m:t>i</m:t>
            </m:r>
            <m:acc>
              <m:accPr>
                <m:chr m:val="̂"/>
              </m:accPr>
              <m:e>
                <m:r>
                  <m:t>H</m:t>
                </m:r>
              </m:e>
            </m:acc>
            <m:r>
              <m:t>t</m:t>
            </m:r>
          </m:sup>
        </m:sSup>
        <m:r>
          <m:rPr>
            <m:sty m:val="p"/>
          </m:rPr>
          <m:t>=</m:t>
        </m:r>
        <m:sSup>
          <m:e>
            <m:r>
              <m:t>e</m:t>
            </m:r>
          </m:e>
          <m:sup>
            <m:r>
              <m:t>i</m:t>
            </m:r>
            <m:r>
              <m:t>ω</m:t>
            </m:r>
            <m:r>
              <m:t>t</m:t>
            </m:r>
          </m:sup>
        </m:sSup>
        <m:acc>
          <m:accPr>
            <m:chr m:val="̂"/>
          </m:accPr>
          <m:e>
            <m:r>
              <m:t>A</m:t>
            </m:r>
          </m:e>
        </m:acc>
      </m:oMath>
      <w:r>
        <w:t xml:space="preserve">, so that</w:t>
      </w:r>
      <w:r>
        <w:t xml:space="preserve"> </w:t>
      </w:r>
      <m:oMath>
        <m:r>
          <m:rPr>
            <m:sty m:val="p"/>
          </m:rPr>
          <m:t>⟨</m:t>
        </m:r>
        <m:acc>
          <m:accPr>
            <m:chr m:val="̂"/>
          </m:accPr>
          <m:e>
            <m:r>
              <m:t>A</m:t>
            </m:r>
          </m:e>
        </m:acc>
        <m:d>
          <m:dPr>
            <m:begChr m:val="("/>
            <m:endChr m:val=")"/>
            <m:grow/>
          </m:dPr>
          <m:e>
            <m:r>
              <m:t>t</m:t>
            </m:r>
          </m:e>
        </m:d>
        <m:r>
          <m:rPr>
            <m:sty m:val="p"/>
          </m:rPr>
          <m:t>⟩</m:t>
        </m:r>
        <m:r>
          <m:rPr>
            <m:sty m:val="p"/>
          </m:rPr>
          <m:t>=</m:t>
        </m:r>
        <m:sSup>
          <m:e>
            <m:r>
              <m:t>e</m:t>
            </m:r>
          </m:e>
          <m:sup>
            <m:r>
              <m:t>i</m:t>
            </m:r>
            <m:r>
              <m:t>ω</m:t>
            </m:r>
            <m:r>
              <m:t>t</m:t>
            </m:r>
          </m:sup>
        </m:sSup>
        <m:r>
          <m:rPr>
            <m:sty m:val="p"/>
          </m:rPr>
          <m:t>⟨</m:t>
        </m:r>
        <m:acc>
          <m:accPr>
            <m:chr m:val="̂"/>
          </m:accPr>
          <m:e>
            <m:r>
              <m:t>A</m:t>
            </m:r>
          </m:e>
        </m:acc>
        <m:d>
          <m:dPr>
            <m:begChr m:val="("/>
            <m:endChr m:val=")"/>
            <m:grow/>
          </m:dPr>
          <m:e>
            <m:r>
              <m:t>0</m:t>
            </m:r>
          </m:e>
        </m:d>
        <m:r>
          <m:rPr>
            <m:sty m:val="p"/>
          </m:rPr>
          <m:t>⟩</m:t>
        </m:r>
      </m:oMath>
      <w:r>
        <w:t xml:space="preserve"> </w:t>
      </w:r>
      <w:r>
        <w:t xml:space="preserve">for every initial state, and the oscillation never decays. In spectral terms, if</w:t>
      </w:r>
      <w:r>
        <w:t xml:space="preserve"> </w:t>
      </w:r>
      <m:oMath>
        <m:acc>
          <m:accPr>
            <m:chr m:val="̂"/>
          </m:accPr>
          <m:e>
            <m:r>
              <m:t>H</m:t>
            </m:r>
          </m:e>
        </m:acc>
        <m:r>
          <m:rPr>
            <m:nor/>
          </m:rPr>
          <m:t>|</m:t>
        </m:r>
        <m:r>
          <m:t>E</m:t>
        </m:r>
        <m:r>
          <m:rPr>
            <m:sty m:val="p"/>
          </m:rPr>
          <m:t>⟩</m:t>
        </m:r>
        <m:r>
          <m:rPr>
            <m:sty m:val="p"/>
          </m:rPr>
          <m:t>=</m:t>
        </m:r>
        <m:r>
          <m:t>E</m:t>
        </m:r>
        <m:r>
          <m:rPr>
            <m:nor/>
          </m:rPr>
          <m:t>|</m:t>
        </m:r>
        <m:r>
          <m:t>E</m:t>
        </m:r>
        <m:r>
          <m:rPr>
            <m:sty m:val="p"/>
          </m:rPr>
          <m:t>⟩</m:t>
        </m:r>
      </m:oMath>
      <w:r>
        <w:t xml:space="preserve">, then</w:t>
      </w:r>
      <w:r>
        <w:t xml:space="preserve"> </w:t>
      </w:r>
      <m:oMath>
        <m:acc>
          <m:accPr>
            <m:chr m:val="̂"/>
          </m:accPr>
          <m:e>
            <m:r>
              <m:t>H</m:t>
            </m:r>
          </m:e>
        </m:acc>
        <m:acc>
          <m:accPr>
            <m:chr m:val="̂"/>
          </m:accPr>
          <m:e>
            <m:r>
              <m:t>A</m:t>
            </m:r>
          </m:e>
        </m:acc>
        <m:r>
          <m:rPr>
            <m:nor/>
          </m:rPr>
          <m:t>|</m:t>
        </m:r>
        <m:r>
          <m:t>E</m:t>
        </m:r>
        <m:r>
          <m:rPr>
            <m:sty m:val="p"/>
          </m:rPr>
          <m:t>⟩</m:t>
        </m:r>
        <m:r>
          <m:rPr>
            <m:sty m:val="p"/>
          </m:rPr>
          <m:t>=</m:t>
        </m:r>
        <m:d>
          <m:dPr>
            <m:begChr m:val="("/>
            <m:endChr m:val=")"/>
            <m:grow/>
          </m:dPr>
          <m:e>
            <m:r>
              <m:t>E</m:t>
            </m:r>
            <m:r>
              <m:rPr>
                <m:sty m:val="p"/>
              </m:rPr>
              <m:t>+</m:t>
            </m:r>
            <m:r>
              <m:t>ω</m:t>
            </m:r>
          </m:e>
        </m:d>
        <m:acc>
          <m:accPr>
            <m:chr m:val="̂"/>
          </m:accPr>
          <m:e>
            <m:r>
              <m:t>A</m:t>
            </m:r>
          </m:e>
        </m:acc>
        <m:r>
          <m:rPr>
            <m:nor/>
          </m:rPr>
          <m:t>|</m:t>
        </m:r>
        <m:r>
          <m:t>E</m:t>
        </m:r>
        <m:r>
          <m:rPr>
            <m:sty m:val="p"/>
          </m:rPr>
          <m:t>⟩</m:t>
        </m:r>
      </m:oMath>
      <w:r>
        <w:t xml:space="preserve">. The operator</w:t>
      </w:r>
      <w:r>
        <w:t xml:space="preserve"> </w:t>
      </w:r>
      <m:oMath>
        <m:acc>
          <m:accPr>
            <m:chr m:val="̂"/>
          </m:accPr>
          <m:e>
            <m:r>
              <m:t>A</m:t>
            </m:r>
          </m:e>
        </m:acc>
      </m:oMath>
      <w:r>
        <w:t xml:space="preserve"> </w:t>
      </w:r>
      <w:r>
        <w:t xml:space="preserve">therefore connects eigenstates whose energies differ by exactly</w:t>
      </w:r>
      <w:r>
        <w:t xml:space="preserve"> </w:t>
      </w:r>
      <m:oMath>
        <m:r>
          <m:t>ω</m:t>
        </m:r>
      </m:oMath>
      <w:r>
        <w:t xml:space="preserve">. When</w:t>
      </w:r>
      <w:r>
        <w:t xml:space="preserve"> </w:t>
      </w:r>
      <m:oMath>
        <m:acc>
          <m:accPr>
            <m:chr m:val="̂"/>
          </m:accPr>
          <m:e>
            <m:r>
              <m:t>A</m:t>
            </m:r>
          </m:e>
        </m:acc>
      </m:oMath>
      <w:r>
        <w:t xml:space="preserve"> </w:t>
      </w:r>
      <w:r>
        <w:t xml:space="preserve">is a sum of local terms, it supplies precisely the extensive set of commensurate energy differences with finite weight that Eq. (15) requires.</w:t>
      </w:r>
    </w:p>
    <w:p>
      <w:pPr>
        <w:pStyle w:val="BodyText"/>
      </w:pPr>
      <w:r>
        <w:t xml:space="preserve">The simplest example is the isotropic Heisenberg chain in a uniform field,</w:t>
      </w:r>
      <w:r>
        <w:t xml:space="preserve"> </w:t>
      </w:r>
      <m:oMath>
        <m:acc>
          <m:accPr>
            <m:chr m:val="̂"/>
          </m:accPr>
          <m:e>
            <m:r>
              <m:t>H</m:t>
            </m:r>
          </m:e>
        </m:acc>
        <m:r>
          <m:rPr>
            <m:sty m:val="p"/>
          </m:rPr>
          <m:t>=</m:t>
        </m:r>
        <m:r>
          <m:t>J</m:t>
        </m:r>
        <m:nary>
          <m:naryPr>
            <m:chr m:val="∑"/>
            <m:limLoc m:val="undOvr"/>
            <m:subHide m:val="off"/>
            <m:supHide m:val="on"/>
          </m:naryPr>
          <m:sub>
            <m:r>
              <m:t>i</m:t>
            </m:r>
          </m:sub>
          <m:sup>
            <m:r>
              <m:t>​</m:t>
            </m:r>
          </m:sup>
          <m:e>
            <m:sSub>
              <m:e>
                <m:acc>
                  <m:accPr>
                    <m:chr m:val="̂"/>
                  </m:accPr>
                  <m:e>
                    <m:r>
                      <m:t>𝑺</m:t>
                    </m:r>
                  </m:e>
                </m:acc>
              </m:e>
              <m:sub>
                <m:r>
                  <m:t>i</m:t>
                </m:r>
              </m:sub>
            </m:sSub>
          </m:e>
        </m:nary>
        <m:r>
          <m:rPr>
            <m:sty m:val="p"/>
          </m:rPr>
          <m:t>⋅</m:t>
        </m:r>
        <m:sSub>
          <m:e>
            <m:acc>
              <m:accPr>
                <m:chr m:val="̂"/>
              </m:accPr>
              <m:e>
                <m:r>
                  <m:t>𝑺</m:t>
                </m:r>
              </m:e>
            </m:acc>
          </m:e>
          <m:sub>
            <m:r>
              <m:t>i</m:t>
            </m:r>
            <m:r>
              <m:rPr>
                <m:sty m:val="p"/>
              </m:rPr>
              <m:t>+</m:t>
            </m:r>
            <m:r>
              <m:t>1</m:t>
            </m:r>
          </m:sub>
        </m:sSub>
        <m:r>
          <m:rPr>
            <m:sty m:val="p"/>
          </m:rPr>
          <m:t>+</m:t>
        </m:r>
        <m:r>
          <m:t>h</m:t>
        </m:r>
        <m:nary>
          <m:naryPr>
            <m:chr m:val="∑"/>
            <m:limLoc m:val="undOvr"/>
            <m:subHide m:val="off"/>
            <m:supHide m:val="on"/>
          </m:naryPr>
          <m:sub>
            <m:r>
              <m:t>i</m:t>
            </m:r>
          </m:sub>
          <m:sup>
            <m:r>
              <m:t>​</m:t>
            </m:r>
          </m:sup>
          <m:e>
            <m:sSubSup>
              <m:e>
                <m:acc>
                  <m:accPr>
                    <m:chr m:val="̂"/>
                  </m:accPr>
                  <m:e>
                    <m:r>
                      <m:t>S</m:t>
                    </m:r>
                  </m:e>
                </m:acc>
              </m:e>
              <m:sub>
                <m:r>
                  <m:t>i</m:t>
                </m:r>
              </m:sub>
              <m:sup>
                <m:r>
                  <m:t>z</m:t>
                </m:r>
              </m:sup>
            </m:sSubSup>
          </m:e>
        </m:nary>
      </m:oMath>
      <w:r>
        <w:t xml:space="preserve">. Because the exchange term is invariant under global spin rotations, the total raising operator satisfies</w:t>
      </w:r>
      <w:r>
        <w:t xml:space="preserve"> </w:t>
      </w:r>
      <m:oMath>
        <m:d>
          <m:dPr>
            <m:begChr m:val="["/>
            <m:endChr m:val="]"/>
            <m:grow/>
          </m:dPr>
          <m:e>
            <m:acc>
              <m:accPr>
                <m:chr m:val="̂"/>
              </m:accPr>
              <m:e>
                <m:r>
                  <m:t>H</m:t>
                </m:r>
              </m:e>
            </m:acc>
            <m:r>
              <m:rPr>
                <m:sty m:val="p"/>
              </m:rPr>
              <m:t>,</m:t>
            </m:r>
            <m:sSubSup>
              <m:e>
                <m:acc>
                  <m:accPr>
                    <m:chr m:val="̂"/>
                  </m:accPr>
                  <m:e>
                    <m:r>
                      <m:t>S</m:t>
                    </m:r>
                  </m:e>
                </m:acc>
              </m:e>
              <m:sub>
                <m:r>
                  <m:rPr>
                    <m:nor/>
                  </m:rPr>
                  <m:t>tot</m:t>
                </m:r>
              </m:sub>
              <m:sup>
                <m:r>
                  <m:rPr>
                    <m:nor/>
                  </m:rPr>
                  <m:t>+</m:t>
                </m:r>
              </m:sup>
            </m:sSubSup>
          </m:e>
        </m:d>
        <m:r>
          <m:rPr>
            <m:sty m:val="p"/>
          </m:rPr>
          <m:t>=</m:t>
        </m:r>
        <m:r>
          <m:t>h</m:t>
        </m:r>
        <m:r>
          <m:t> </m:t>
        </m:r>
        <m:sSubSup>
          <m:e>
            <m:acc>
              <m:accPr>
                <m:chr m:val="̂"/>
              </m:accPr>
              <m:e>
                <m:r>
                  <m:t>S</m:t>
                </m:r>
              </m:e>
            </m:acc>
          </m:e>
          <m:sub>
            <m:r>
              <m:rPr>
                <m:nor/>
              </m:rPr>
              <m:t>tot</m:t>
            </m:r>
          </m:sub>
          <m:sup>
            <m:r>
              <m:rPr>
                <m:nor/>
              </m:rPr>
              <m:t>+</m:t>
            </m:r>
          </m:sup>
        </m:sSubSup>
      </m:oMath>
      <w:r>
        <w:t xml:space="preserve">, and the total transverse magnetization precesses at frequency</w:t>
      </w:r>
      <w:r>
        <w:t xml:space="preserve"> </w:t>
      </w:r>
      <m:oMath>
        <m:r>
          <m:t>h</m:t>
        </m:r>
      </m:oMath>
      <w:r>
        <w:t xml:space="preserve"> </w:t>
      </w:r>
      <w:r>
        <w:t xml:space="preserve">without decay. This does not contradict the Watanabe-Oshikawa theorem:</w:t>
      </w:r>
      <w:r>
        <w:t xml:space="preserve"> </w:t>
      </w:r>
      <m:oMath>
        <m:r>
          <m:rPr>
            <m:sty m:val="p"/>
          </m:rPr>
          <m:t>⟨</m:t>
        </m:r>
        <m:sSubSup>
          <m:e>
            <m:acc>
              <m:accPr>
                <m:chr m:val="̂"/>
              </m:accPr>
              <m:e>
                <m:r>
                  <m:t>S</m:t>
                </m:r>
              </m:e>
            </m:acc>
          </m:e>
          <m:sub>
            <m:r>
              <m:rPr>
                <m:nor/>
              </m:rPr>
              <m:t>tot</m:t>
            </m:r>
          </m:sub>
          <m:sup>
            <m:r>
              <m:rPr>
                <m:nor/>
              </m:rPr>
              <m:t>+</m:t>
            </m:r>
          </m:sup>
        </m:sSubSup>
        <m:r>
          <m:rPr>
            <m:sty m:val="p"/>
          </m:rPr>
          <m:t>⟩</m:t>
        </m:r>
      </m:oMath>
      <w:r>
        <w:t xml:space="preserve"> </w:t>
      </w:r>
      <w:r>
        <w:t xml:space="preserve">vanishes in every Gibbs state of</w:t>
      </w:r>
      <w:r>
        <w:t xml:space="preserve"> </w:t>
      </w:r>
      <m:oMath>
        <m:acc>
          <m:accPr>
            <m:chr m:val="̂"/>
          </m:accPr>
          <m:e>
            <m:r>
              <m:t>H</m:t>
            </m:r>
          </m:e>
        </m:acc>
      </m:oMath>
      <w:r>
        <w:t xml:space="preserve">, so the oscillation requires a nonequilibrium initial state. A second example is Yang’s</w:t>
      </w:r>
      <w:r>
        <w:t xml:space="preserve"> </w:t>
      </w:r>
      <m:oMath>
        <m:r>
          <m:t>η</m:t>
        </m:r>
      </m:oMath>
      <w:r>
        <w:t xml:space="preserve">-pairing operator in the Hubbard model on a bipartite lattice, which satisfies Eq. (16) with a frequency set by the on-site interaction and the chemical potential (Yang, 1989). Medenjak et al. (2020) argued that isolated Heisenberg magnets with such structure can be regarded as quantum time crystals. Long-lived phantom-helix states, whose longevity reflects exact properties of the anisotropic Heisenberg model, have been observed with ultracold atoms (Jepsen et al., 2022). In all these cases, however, the frequency is set by Hamiltonian parameters and shifts continuously with them. Such oscillations are therefore not rigid in the sense of criterion (b).</w:t>
      </w:r>
    </w:p>
    <w:p>
      <w:pPr>
        <w:pStyle w:val="BodyText"/>
      </w:pPr>
      <w:r>
        <w:t xml:space="preserve">For a periodically driven system, the analogue of Eq. (16) is</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3533"/>
        <w:gridCol w:w="620"/>
      </w:tblGrid>
      <w:tr>
        <w:trPr>
          <w:cantSplit/>
        </w:trPr>
        <w:tc>
          <w:tcPr>
            <w:tcW w:w="3533" w:type="dxa"/>
            <w:vAlign w:val="center"/>
          </w:tcPr>
          <w:p>
            <w:pPr>
              <w:spacing w:before="60" w:after="60" w:line="300" w:lineRule="auto"/>
              <w:jc w:val="center"/>
            </w:pPr>
            <m:oMathPara>
              <m:oMathParaPr>
                <m:jc m:val="center"/>
              </m:oMathParaPr>
              <m:oMath>
                <m:sSubSup>
                  <m:e>
                    <m:acc>
                      <m:accPr>
                        <m:chr m:val="̂"/>
                      </m:accPr>
                      <m:e>
                        <m:r>
                          <m:t>U</m:t>
                        </m:r>
                      </m:e>
                    </m:acc>
                  </m:e>
                  <m:sub>
                    <m:r>
                      <m:t>F</m:t>
                    </m:r>
                  </m:sub>
                  <m:sup>
                    <m:r>
                      <m:rPr>
                        <m:sty m:val="p"/>
                      </m:rPr>
                      <m:t>†</m:t>
                    </m:r>
                  </m:sup>
                </m:sSubSup>
                <m:acc>
                  <m:accPr>
                    <m:chr m:val="̂"/>
                  </m:accPr>
                  <m:e>
                    <m:r>
                      <m:t>A</m:t>
                    </m:r>
                  </m:e>
                </m:acc>
                <m:r>
                  <m:t> </m:t>
                </m:r>
                <m:sSub>
                  <m:e>
                    <m:acc>
                      <m:accPr>
                        <m:chr m:val="̂"/>
                      </m:accPr>
                      <m:e>
                        <m:r>
                          <m:t>U</m:t>
                        </m:r>
                      </m:e>
                    </m:acc>
                  </m:e>
                  <m:sub>
                    <m:r>
                      <m:t>F</m:t>
                    </m:r>
                  </m:sub>
                </m:sSub>
                <m:r>
                  <m:rPr>
                    <m:sty m:val="p"/>
                  </m:rPr>
                  <m:t>=</m:t>
                </m:r>
                <m:sSup>
                  <m:e>
                    <m:r>
                      <m:t>e</m:t>
                    </m:r>
                  </m:e>
                  <m:sup>
                    <m:r>
                      <m:t>i</m:t>
                    </m:r>
                    <m:r>
                      <m:t>θ</m:t>
                    </m:r>
                  </m:sup>
                </m:sSup>
                <m:acc>
                  <m:accPr>
                    <m:chr m:val="̂"/>
                  </m:accPr>
                  <m:e>
                    <m:r>
                      <m:t>A</m:t>
                    </m:r>
                  </m:e>
                </m:acc>
                <m:r>
                  <m:rPr>
                    <m:sty m:val="p"/>
                  </m:rPr>
                  <m:t>,</m:t>
                </m:r>
              </m:oMath>
            </m:oMathPara>
          </w:p>
        </w:tc>
        <w:tc>
          <w:tcPr>
            <w:tcW w:w="620" w:type="dxa"/>
            <w:vAlign w:val="center"/>
          </w:tcPr>
          <w:p>
            <w:pPr>
              <w:spacing w:before="40" w:after="40" w:line="300" w:lineRule="auto"/>
              <w:jc w:val="right"/>
            </w:pPr>
            <w:r>
              <w:t>(17)</w:t>
            </w:r>
          </w:p>
        </w:tc>
      </w:tr>
    </w:tbl>
    <w:p>
      <w:pPr>
        <w:pStyle w:val="FirstParagraph"/>
      </w:pPr>
      <w:r>
        <w:t xml:space="preserve">which gives</w:t>
      </w:r>
      <w:r>
        <w:t xml:space="preserve"> </w:t>
      </w:r>
      <m:oMath>
        <m:acc>
          <m:accPr>
            <m:chr m:val="̂"/>
          </m:accPr>
          <m:e>
            <m:r>
              <m:t>A</m:t>
            </m:r>
          </m:e>
        </m:acc>
        <m:d>
          <m:dPr>
            <m:begChr m:val="("/>
            <m:endChr m:val=")"/>
            <m:grow/>
          </m:dPr>
          <m:e>
            <m:r>
              <m:t>n</m:t>
            </m:r>
            <m:r>
              <m:t>T</m:t>
            </m:r>
          </m:e>
        </m:d>
        <m:r>
          <m:rPr>
            <m:sty m:val="p"/>
          </m:rPr>
          <m:t>=</m:t>
        </m:r>
        <m:sSup>
          <m:e>
            <m:r>
              <m:t>e</m:t>
            </m:r>
          </m:e>
          <m:sup>
            <m:r>
              <m:t>i</m:t>
            </m:r>
            <m:r>
              <m:t>n</m:t>
            </m:r>
            <m:r>
              <m:t>θ</m:t>
            </m:r>
          </m:sup>
        </m:sSup>
        <m:acc>
          <m:accPr>
            <m:chr m:val="̂"/>
          </m:accPr>
          <m:e>
            <m:r>
              <m:t>A</m:t>
            </m:r>
          </m:e>
        </m:acc>
      </m:oMath>
      <w:r>
        <w:t xml:space="preserve">. A phase</w:t>
      </w:r>
      <w:r>
        <w:t xml:space="preserve"> </w:t>
      </w:r>
      <m:oMath>
        <m:r>
          <m:t>θ</m:t>
        </m:r>
        <m:r>
          <m:rPr>
            <m:sty m:val="p"/>
          </m:rPr>
          <m:t>=</m:t>
        </m:r>
        <m:r>
          <m:t>2</m:t>
        </m:r>
        <m:r>
          <m:t>π</m:t>
        </m:r>
        <m:r>
          <m:rPr>
            <m:sty m:val="p"/>
          </m:rPr>
          <m:t>/</m:t>
        </m:r>
        <m:r>
          <m:t>m</m:t>
        </m:r>
      </m:oMath>
      <w:r>
        <w:t xml:space="preserve"> </w:t>
      </w:r>
      <w:r>
        <w:t xml:space="preserve">produces a response with period</w:t>
      </w:r>
      <w:r>
        <w:t xml:space="preserve"> </w:t>
      </w:r>
      <m:oMath>
        <m:r>
          <m:t>m</m:t>
        </m:r>
        <m:r>
          <m:t>T</m:t>
        </m:r>
      </m:oMath>
      <w:r>
        <w:t xml:space="preserve">, and</w:t>
      </w:r>
      <w:r>
        <w:t xml:space="preserve"> </w:t>
      </w:r>
      <m:oMath>
        <m:r>
          <m:t>θ</m:t>
        </m:r>
        <m:r>
          <m:rPr>
            <m:sty m:val="p"/>
          </m:rPr>
          <m:t>=</m:t>
        </m:r>
        <m:r>
          <m:t>π</m:t>
        </m:r>
      </m:oMath>
      <w:r>
        <w:t xml:space="preserve"> </w:t>
      </w:r>
      <w:r>
        <w:t xml:space="preserve">gives period doubling. In spectral terms,</w:t>
      </w:r>
      <w:r>
        <w:t xml:space="preserve"> </w:t>
      </w:r>
      <m:oMath>
        <m:acc>
          <m:accPr>
            <m:chr m:val="̂"/>
          </m:accPr>
          <m:e>
            <m:r>
              <m:t>A</m:t>
            </m:r>
          </m:e>
        </m:acc>
      </m:oMath>
      <w:r>
        <w:t xml:space="preserve"> </w:t>
      </w:r>
      <w:r>
        <w:t xml:space="preserve">connects Floquet eigenstates whose quasienergies differ by</w:t>
      </w:r>
      <w:r>
        <w:t xml:space="preserve"> </w:t>
      </w:r>
      <m:oMath>
        <m:r>
          <m:t>θ</m:t>
        </m:r>
        <m:r>
          <m:rPr>
            <m:sty m:val="p"/>
          </m:rPr>
          <m:t>/</m:t>
        </m:r>
        <m:r>
          <m:t>T</m:t>
        </m:r>
      </m:oMath>
      <w:r>
        <w:t xml:space="preserve">, which for</w:t>
      </w:r>
      <w:r>
        <w:t xml:space="preserve"> </w:t>
      </w:r>
      <m:oMath>
        <m:r>
          <m:t>θ</m:t>
        </m:r>
        <m:r>
          <m:rPr>
            <m:sty m:val="p"/>
          </m:rPr>
          <m:t>=</m:t>
        </m:r>
        <m:r>
          <m:t>π</m:t>
        </m:r>
      </m:oMath>
      <w:r>
        <w:t xml:space="preserve"> </w:t>
      </w:r>
      <w:r>
        <w:t xml:space="preserve">is the</w:t>
      </w:r>
      <w:r>
        <w:t xml:space="preserve"> </w:t>
      </w:r>
      <m:oMath>
        <m:r>
          <m:t>π</m:t>
        </m:r>
      </m:oMath>
      <w:r>
        <w:t xml:space="preserve"> </w:t>
      </w:r>
      <w:r>
        <w:t xml:space="preserve">pairing of Sec. II B. In the kicked Ising chain at</w:t>
      </w:r>
      <w:r>
        <w:t xml:space="preserve"> </w:t>
      </w:r>
      <m:oMath>
        <m:sSub>
          <m:e>
            <m:r>
              <m:t>ε</m:t>
            </m:r>
          </m:e>
          <m:sub>
            <m:r>
              <m:t>r</m:t>
            </m:r>
          </m:sub>
        </m:sSub>
        <m:r>
          <m:rPr>
            <m:sty m:val="p"/>
          </m:rPr>
          <m:t>=</m:t>
        </m:r>
        <m:r>
          <m:t>0</m:t>
        </m:r>
      </m:oMath>
      <w:r>
        <w:t xml:space="preserve">, every</w:t>
      </w:r>
      <w:r>
        <w:t xml:space="preserve"> </w:t>
      </w:r>
      <m:oMath>
        <m:sSubSup>
          <m:e>
            <m:acc>
              <m:accPr>
                <m:chr m:val="̂"/>
              </m:accPr>
              <m:e>
                <m:r>
                  <m:t>σ</m:t>
                </m:r>
              </m:e>
            </m:acc>
          </m:e>
          <m:sub>
            <m:r>
              <m:t>i</m:t>
            </m:r>
          </m:sub>
          <m:sup>
            <m:r>
              <m:t>z</m:t>
            </m:r>
          </m:sup>
        </m:sSubSup>
      </m:oMath>
      <w:r>
        <w:t xml:space="preserve"> </w:t>
      </w:r>
      <w:r>
        <w:t xml:space="preserve">satisfies Eq. (17) with</w:t>
      </w:r>
      <w:r>
        <w:t xml:space="preserve"> </w:t>
      </w:r>
      <m:oMath>
        <m:r>
          <m:t>θ</m:t>
        </m:r>
        <m:r>
          <m:rPr>
            <m:sty m:val="p"/>
          </m:rPr>
          <m:t>=</m:t>
        </m:r>
        <m:r>
          <m:t>π</m:t>
        </m:r>
      </m:oMath>
      <w:r>
        <w:t xml:space="preserve">. Here the phase is not set by a tunable Hamiltonian parameter but by the</w:t>
      </w:r>
      <w:r>
        <w:t xml:space="preserve"> </w:t>
      </w:r>
      <m:oMath>
        <m:sSub>
          <m:e>
            <m:r>
              <m:rPr>
                <m:scr m:val="double-struck"/>
                <m:sty m:val="p"/>
              </m:rPr>
              <m:t>Z</m:t>
            </m:r>
          </m:e>
          <m:sub>
            <m:r>
              <m:t>2</m:t>
            </m:r>
          </m:sub>
        </m:sSub>
      </m:oMath>
      <w:r>
        <w:t xml:space="preserve"> </w:t>
      </w:r>
      <w:r>
        <w:t xml:space="preserve">structure of the drive,</w:t>
      </w:r>
      <w:r>
        <w:t xml:space="preserve"> </w:t>
      </w:r>
      <m:oMath>
        <m:sSup>
          <m:e>
            <m:acc>
              <m:accPr>
                <m:chr m:val="̂"/>
              </m:accPr>
              <m:e>
                <m:r>
                  <m:t>P</m:t>
                </m:r>
              </m:e>
            </m:acc>
          </m:e>
          <m:sup>
            <m:r>
              <m:t>2</m:t>
            </m:r>
          </m:sup>
        </m:sSup>
        <m:r>
          <m:rPr>
            <m:sty m:val="p"/>
          </m:rPr>
          <m:t>=</m:t>
        </m:r>
        <m:acc>
          <m:accPr>
            <m:chr m:val="̂"/>
          </m:accPr>
          <m:e>
            <m:r>
              <m:rPr>
                <m:sty m:val="p"/>
              </m:rPr>
              <m:t>𝟏</m:t>
            </m:r>
          </m:e>
        </m:acc>
      </m:oMath>
      <w:r>
        <w:t xml:space="preserve">. As long as weak perturbations preserve the dressed form</w:t>
      </w:r>
      <w:r>
        <w:t xml:space="preserve"> </w:t>
      </w:r>
      <m:oMath>
        <m:sSub>
          <m:e>
            <m:acc>
              <m:accPr>
                <m:chr m:val="̂"/>
              </m:accPr>
              <m:e>
                <m:r>
                  <m:t>U</m:t>
                </m:r>
              </m:e>
            </m:acc>
          </m:e>
          <m:sub>
            <m:r>
              <m:t>F</m:t>
            </m:r>
          </m:sub>
        </m:sSub>
        <m:r>
          <m:rPr>
            <m:sty m:val="p"/>
          </m:rPr>
          <m:t>≈</m:t>
        </m:r>
        <m:acc>
          <m:accPr>
            <m:chr m:val="̂"/>
          </m:accPr>
          <m:e>
            <m:r>
              <m:t>P</m:t>
            </m:r>
          </m:e>
        </m:acc>
        <m:r>
          <m:t> </m:t>
        </m:r>
        <m:sSup>
          <m:e>
            <m:r>
              <m:t>e</m:t>
            </m:r>
          </m:e>
          <m:sup>
            <m:r>
              <m:rPr>
                <m:sty m:val="p"/>
              </m:rPr>
              <m:t>−</m:t>
            </m:r>
            <m:r>
              <m:t>i</m:t>
            </m:r>
            <m:acc>
              <m:accPr>
                <m:chr m:val="̂"/>
              </m:accPr>
              <m:e>
                <m:r>
                  <m:t>D</m:t>
                </m:r>
              </m:e>
            </m:acc>
            <m:r>
              <m:t>T</m:t>
            </m:r>
          </m:sup>
        </m:sSup>
      </m:oMath>
      <w:r>
        <w:t xml:space="preserve"> </w:t>
      </w:r>
      <w:r>
        <w:t xml:space="preserve">with</w:t>
      </w:r>
      <w:r>
        <w:t xml:space="preserve"> </w:t>
      </w:r>
      <m:oMath>
        <m:d>
          <m:dPr>
            <m:begChr m:val="["/>
            <m:endChr m:val="]"/>
            <m:grow/>
          </m:dPr>
          <m:e>
            <m:acc>
              <m:accPr>
                <m:chr m:val="̂"/>
              </m:accPr>
              <m:e>
                <m:r>
                  <m:t>D</m:t>
                </m:r>
              </m:e>
            </m:acc>
            <m:r>
              <m:rPr>
                <m:sty m:val="p"/>
              </m:rPr>
              <m:t>,</m:t>
            </m:r>
            <m:acc>
              <m:accPr>
                <m:chr m:val="̂"/>
              </m:accPr>
              <m:e>
                <m:r>
                  <m:t>P</m:t>
                </m:r>
              </m:e>
            </m:acc>
          </m:e>
        </m:d>
        <m:r>
          <m:rPr>
            <m:sty m:val="p"/>
          </m:rPr>
          <m:t>=</m:t>
        </m:r>
        <m:r>
          <m:t>0</m:t>
        </m:r>
      </m:oMath>
      <w:r>
        <w:t xml:space="preserve">, the phase</w:t>
      </w:r>
      <w:r>
        <w:t xml:space="preserve"> </w:t>
      </w:r>
      <m:oMath>
        <m:r>
          <m:t>θ</m:t>
        </m:r>
        <m:r>
          <m:rPr>
            <m:sty m:val="p"/>
          </m:rPr>
          <m:t>=</m:t>
        </m:r>
        <m:r>
          <m:t>π</m:t>
        </m:r>
      </m:oMath>
      <w:r>
        <w:t xml:space="preserve"> </w:t>
      </w:r>
      <w:r>
        <w:t xml:space="preserve">cannot drift continuously. This is the algebraic origin of the rigidity of the period in a discrete time crystal, and it distinguishes Floquet dynamical symmetries from their Hamiltonian counterparts. Floquet dynamical symmetries of this type have been used to construct time crystals in driven Hubbard models (Chinzei &amp; Ikeda, 2020). The free-fermion models of Sec. III B provide a further example, in which the condition is met for selected momenta.</w:t>
      </w:r>
    </w:p>
    <w:bookmarkEnd w:id="30"/>
    <w:bookmarkStart w:id="31" w:name="b.-free-fermion-models"/>
    <w:p>
      <w:pPr>
        <w:pStyle w:val="Heading2"/>
      </w:pPr>
      <w:r>
        <w:t xml:space="preserve">B. Free-fermion models</w:t>
      </w:r>
    </w:p>
    <w:p>
      <w:pPr>
        <w:pStyle w:val="FirstParagraph"/>
      </w:pPr>
      <w:r>
        <w:t xml:space="preserve">Time-crystalline responses can be realized in a class of integrable free-fermion models (Chandra &amp; Roy, 2024),</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725"/>
        <w:gridCol w:w="2808"/>
        <w:gridCol w:w="620"/>
      </w:tblGrid>
      <w:tr>
        <w:trPr>
          <w:cantSplit/>
        </w:trPr>
        <w:tc>
          <w:tcPr>
            <w:tcW w:w="725" w:type="dxa"/>
            <w:vAlign w:val="center"/>
          </w:tcPr>
          <w:p>
            <w:pPr>
              <w:keepNext/>
              <w:spacing w:before="60" w:after="0" w:line="300" w:lineRule="auto"/>
              <w:jc w:val="right"/>
            </w:pPr>
            <m:oMathPara>
              <m:oMathParaPr>
                <m:jc m:val="right"/>
              </m:oMathParaPr>
              <m:oMath>
                <m:acc>
                  <m:accPr>
                    <m:chr m:val="̂"/>
                  </m:accPr>
                  <m:e>
                    <m:r>
                      <m:t>H</m:t>
                    </m:r>
                  </m:e>
                </m:acc>
                <m:d>
                  <m:dPr>
                    <m:begChr m:val="("/>
                    <m:endChr m:val=")"/>
                    <m:grow/>
                  </m:dPr>
                  <m:e>
                    <m:r>
                      <m:t>t</m:t>
                    </m:r>
                  </m:e>
                </m:d>
              </m:oMath>
            </m:oMathPara>
          </w:p>
        </w:tc>
        <w:tc>
          <w:tcPr>
            <w:tcW w:w="2808" w:type="dxa"/>
            <w:vAlign w:val="center"/>
          </w:tcPr>
          <w:p>
            <w:pPr>
              <w:keepNext/>
              <w:spacing w:before="60" w:after="0" w:line="300" w:lineRule="auto"/>
              <w:jc w:val="left"/>
            </w:pPr>
            <m:oMathPara>
              <m:oMathParaPr>
                <m:jc m:val="left"/>
              </m:oMathParaPr>
              <m:oMath>
                <m:r>
                  <m:rPr>
                    <m:nor/>
                  </m:rPr>
                  <m:t>=</m:t>
                </m:r>
                <m:nary>
                  <m:naryPr>
                    <m:chr m:val="∑"/>
                    <m:limLoc m:val="undOvr"/>
                    <m:subHide m:val="off"/>
                    <m:supHide m:val="on"/>
                  </m:naryPr>
                  <m:sub>
                    <m:r>
                      <m:t>𝒌</m:t>
                    </m:r>
                    <m:r>
                      <m:rPr>
                        <m:sty m:val="p"/>
                      </m:rPr>
                      <m:t>&gt;</m:t>
                    </m:r>
                    <m:r>
                      <m:t>0</m:t>
                    </m:r>
                  </m:sub>
                  <m:sup>
                    <m:r>
                      <m:t>​</m:t>
                    </m:r>
                  </m:sup>
                  <m:e>
                    <m:sSubSup>
                      <m:e>
                        <m:acc>
                          <m:accPr>
                            <m:chr m:val="̂"/>
                          </m:accPr>
                          <m:e>
                            <m:r>
                              <m:t>H</m:t>
                            </m:r>
                          </m:e>
                        </m:acc>
                      </m:e>
                      <m:sub>
                        <m:r>
                          <m:t>𝒌</m:t>
                        </m:r>
                      </m:sub>
                      <m:sup>
                        <m:d>
                          <m:dPr>
                            <m:begChr m:val="("/>
                            <m:endChr m:val=")"/>
                            <m:grow/>
                          </m:dPr>
                          <m:e>
                            <m:r>
                              <m:t>0</m:t>
                            </m:r>
                          </m:e>
                        </m:d>
                      </m:sup>
                    </m:sSubSup>
                  </m:e>
                </m:nary>
                <m:r>
                  <m:rPr>
                    <m:sty m:val="p"/>
                  </m:rPr>
                  <m:t>,</m:t>
                </m:r>
              </m:oMath>
            </m:oMathPara>
          </w:p>
        </w:tc>
        <w:tc>
          <w:tcPr>
            <w:tcW w:w="620" w:type="dxa"/>
            <w:vMerge w:val="restart"/>
            <w:vAlign w:val="center"/>
          </w:tcPr>
          <w:p>
            <w:pPr>
              <w:keepNext/>
              <w:spacing w:before="40" w:after="40" w:line="300" w:lineRule="auto"/>
              <w:jc w:val="right"/>
            </w:pPr>
            <w:r>
              <w:t>(18)</w:t>
            </w:r>
          </w:p>
        </w:tc>
      </w:tr>
      <w:tr>
        <w:trPr>
          <w:cantSplit/>
        </w:trPr>
        <w:tc>
          <w:tcPr>
            <w:tcW w:w="725" w:type="dxa"/>
            <w:vAlign w:val="center"/>
          </w:tcPr>
          <w:p>
            <w:pPr>
              <w:keepNext/>
              <w:spacing w:before="0" w:after="0" w:line="300" w:lineRule="auto"/>
              <w:jc w:val="right"/>
            </w:pPr>
            <m:oMathPara>
              <m:oMathParaPr>
                <m:jc m:val="right"/>
              </m:oMathParaPr>
              <m:oMath>
                <m:sSubSup>
                  <m:e>
                    <m:acc>
                      <m:accPr>
                        <m:chr m:val="̂"/>
                      </m:accPr>
                      <m:e>
                        <m:r>
                          <m:t>H</m:t>
                        </m:r>
                      </m:e>
                    </m:acc>
                  </m:e>
                  <m:sub>
                    <m:r>
                      <m:t>𝒌</m:t>
                    </m:r>
                  </m:sub>
                  <m:sup>
                    <m:d>
                      <m:dPr>
                        <m:begChr m:val="("/>
                        <m:endChr m:val=")"/>
                        <m:grow/>
                      </m:dPr>
                      <m:e>
                        <m:r>
                          <m:t>0</m:t>
                        </m:r>
                      </m:e>
                    </m:d>
                  </m:sup>
                </m:sSubSup>
              </m:oMath>
            </m:oMathPara>
          </w:p>
        </w:tc>
        <w:tc>
          <w:tcPr>
            <w:tcW w:w="2808" w:type="dxa"/>
            <w:vAlign w:val="center"/>
          </w:tcPr>
          <w:p>
            <w:pPr>
              <w:keepNext/>
              <w:spacing w:before="0" w:after="0" w:line="300" w:lineRule="auto"/>
              <w:jc w:val="left"/>
            </w:pPr>
            <m:oMathPara>
              <m:oMathParaPr>
                <m:jc m:val="left"/>
              </m:oMathParaPr>
              <m:oMath>
                <m:r>
                  <m:rPr>
                    <m:nor/>
                  </m:rPr>
                  <m:t>=</m:t>
                </m:r>
                <m:d>
                  <m:dPr>
                    <m:begChr m:val="("/>
                    <m:endChr m:val=")"/>
                    <m:grow/>
                  </m:dPr>
                  <m:e>
                    <m:sSub>
                      <m:e>
                        <m:r>
                          <m:t>a</m:t>
                        </m:r>
                      </m:e>
                      <m:sub>
                        <m:r>
                          <m:t>0</m:t>
                        </m:r>
                      </m:sub>
                    </m:sSub>
                    <m:r>
                      <m:rPr>
                        <m:sty m:val="p"/>
                      </m:rPr>
                      <m:t>−</m:t>
                    </m:r>
                    <m:sSub>
                      <m:e>
                        <m:r>
                          <m:t>b</m:t>
                        </m:r>
                      </m:e>
                      <m:sub>
                        <m:r>
                          <m:t>𝒌</m:t>
                        </m:r>
                      </m:sub>
                    </m:sSub>
                  </m:e>
                </m:d>
                <m:d>
                  <m:dPr>
                    <m:begChr m:val="("/>
                    <m:endChr m:val=")"/>
                    <m:grow/>
                  </m:dPr>
                  <m:e>
                    <m:sSub>
                      <m:e>
                        <m:r>
                          <m:t>n</m:t>
                        </m:r>
                      </m:e>
                      <m:sub>
                        <m:r>
                          <m:t>𝒌</m:t>
                        </m:r>
                      </m:sub>
                    </m:sSub>
                    <m:r>
                      <m:rPr>
                        <m:sty m:val="p"/>
                      </m:rPr>
                      <m:t>+</m:t>
                    </m:r>
                    <m:sSub>
                      <m:e>
                        <m:r>
                          <m:t>n</m:t>
                        </m:r>
                      </m:e>
                      <m:sub>
                        <m:r>
                          <m:rPr>
                            <m:sty m:val="p"/>
                          </m:rPr>
                          <m:t>−</m:t>
                        </m:r>
                        <m:r>
                          <m:t>𝒌</m:t>
                        </m:r>
                      </m:sub>
                    </m:sSub>
                  </m:e>
                </m:d>
              </m:oMath>
            </m:oMathPara>
          </w:p>
        </w:tc>
        <w:tc>
          <w:tcPr>
            <w:tcW w:w="620" w:type="dxa"/>
            <w:vMerge/>
            <w:vAlign w:val="center"/>
          </w:tcPr>
          <w:p>
            <w:pPr>
              <w:keepNext/>
              <w:spacing w:before="40" w:after="40" w:line="300" w:lineRule="auto"/>
              <w:jc w:val="right"/>
            </w:pPr>
          </w:p>
        </w:tc>
      </w:tr>
      <w:tr>
        <w:trPr>
          <w:cantSplit/>
        </w:trPr>
        <w:tc>
          <w:tcPr>
            <w:tcW w:w="725" w:type="dxa"/>
            <w:vAlign w:val="center"/>
          </w:tcPr>
          <w:p>
            <w:pPr>
              <w:spacing w:before="0" w:after="60" w:line="300" w:lineRule="auto"/>
              <w:jc w:val="right"/>
            </w:pPr>
          </w:p>
        </w:tc>
        <w:tc>
          <w:tcPr>
            <w:tcW w:w="2808" w:type="dxa"/>
            <w:vAlign w:val="center"/>
          </w:tcPr>
          <w:p>
            <w:pPr>
              <w:spacing w:before="0" w:after="60" w:line="300" w:lineRule="auto"/>
              <w:jc w:val="left"/>
            </w:pPr>
            <m:oMathPara>
              <m:oMathParaPr>
                <m:jc m:val="left"/>
              </m:oMathParaPr>
              <m:oMath>
                <m:r>
                  <m:rPr>
                    <m:nor/>
                  </m:rPr>
                  <m:t xml:space="preserve"> </m:t>
                </m:r>
                <m:r>
                  <m:rPr>
                    <m:nor/>
                  </m:rPr>
                  <m:t>+</m:t>
                </m:r>
                <m:sSub>
                  <m:e>
                    <m:r>
                      <m:t>D</m:t>
                    </m:r>
                  </m:e>
                  <m:sub>
                    <m:r>
                      <m:t>𝒌</m:t>
                    </m:r>
                  </m:sub>
                </m:sSub>
                <m:d>
                  <m:dPr>
                    <m:begChr m:val="("/>
                    <m:endChr m:val=")"/>
                    <m:grow/>
                  </m:dPr>
                  <m:e>
                    <m:sSubSup>
                      <m:e>
                        <m:r>
                          <m:t>c</m:t>
                        </m:r>
                      </m:e>
                      <m:sub>
                        <m:r>
                          <m:t>𝒌</m:t>
                        </m:r>
                      </m:sub>
                      <m:sup>
                        <m:r>
                          <m:rPr>
                            <m:sty m:val="p"/>
                          </m:rPr>
                          <m:t>†</m:t>
                        </m:r>
                      </m:sup>
                    </m:sSubSup>
                    <m:sSubSup>
                      <m:e>
                        <m:r>
                          <m:t>c</m:t>
                        </m:r>
                      </m:e>
                      <m:sub>
                        <m:r>
                          <m:rPr>
                            <m:sty m:val="p"/>
                          </m:rPr>
                          <m:t>−</m:t>
                        </m:r>
                        <m:r>
                          <m:t>𝒌</m:t>
                        </m:r>
                      </m:sub>
                      <m:sup>
                        <m:r>
                          <m:rPr>
                            <m:sty m:val="p"/>
                          </m:rPr>
                          <m:t>†</m:t>
                        </m:r>
                      </m:sup>
                    </m:sSubSup>
                    <m:r>
                      <m:rPr>
                        <m:sty m:val="p"/>
                      </m:rPr>
                      <m:t>+</m:t>
                    </m:r>
                    <m:r>
                      <m:rPr>
                        <m:nor/>
                      </m:rPr>
                      <m:t>h.c.</m:t>
                    </m:r>
                  </m:e>
                </m:d>
                <m:r>
                  <m:rPr>
                    <m:sty m:val="p"/>
                  </m:rPr>
                  <m:t>,</m:t>
                </m:r>
              </m:oMath>
            </m:oMathPara>
          </w:p>
        </w:tc>
        <w:tc>
          <w:tcPr>
            <w:tcW w:w="620" w:type="dxa"/>
            <w:vMerge/>
            <w:vAlign w:val="center"/>
          </w:tcPr>
          <w:p>
            <w:pPr>
              <w:spacing w:before="40" w:after="40" w:line="300" w:lineRule="auto"/>
              <w:jc w:val="right"/>
            </w:pPr>
          </w:p>
        </w:tc>
      </w:tr>
    </w:tbl>
    <w:p>
      <w:pPr>
        <w:pStyle w:val="FirstParagraph"/>
      </w:pPr>
      <w:r>
        <w:t xml:space="preserve">with</w:t>
      </w:r>
      <w:r>
        <w:t xml:space="preserve"> </w:t>
      </w:r>
      <m:oMath>
        <m:sSub>
          <m:e>
            <m:r>
              <m:t>n</m:t>
            </m:r>
          </m:e>
          <m:sub>
            <m:r>
              <m:rPr>
                <m:sty m:val="p"/>
              </m:rPr>
              <m:t>±</m:t>
            </m:r>
            <m:r>
              <m:t>𝒌</m:t>
            </m:r>
          </m:sub>
        </m:sSub>
        <m:r>
          <m:rPr>
            <m:sty m:val="p"/>
          </m:rPr>
          <m:t>=</m:t>
        </m:r>
        <m:sSubSup>
          <m:e>
            <m:r>
              <m:t>c</m:t>
            </m:r>
          </m:e>
          <m:sub>
            <m:r>
              <m:rPr>
                <m:sty m:val="p"/>
              </m:rPr>
              <m:t>±</m:t>
            </m:r>
            <m:r>
              <m:t>𝒌</m:t>
            </m:r>
          </m:sub>
          <m:sup>
            <m:r>
              <m:rPr>
                <m:sty m:val="p"/>
              </m:rPr>
              <m:t>†</m:t>
            </m:r>
          </m:sup>
        </m:sSubSup>
        <m:sSub>
          <m:e>
            <m:r>
              <m:t>c</m:t>
            </m:r>
          </m:e>
          <m:sub>
            <m:r>
              <m:rPr>
                <m:sty m:val="p"/>
              </m:rPr>
              <m:t>±</m:t>
            </m:r>
            <m:r>
              <m:t>𝒌</m:t>
            </m:r>
          </m:sub>
        </m:sSub>
      </m:oMath>
      <w:r>
        <w:t xml:space="preserve">. This Cooper-pair Hamiltonian is specified by the parameters</w:t>
      </w:r>
      <w:r>
        <w:t xml:space="preserve"> </w:t>
      </w:r>
      <m:oMath>
        <m:sSub>
          <m:e>
            <m:r>
              <m:t>a</m:t>
            </m:r>
          </m:e>
          <m:sub>
            <m:r>
              <m:t>0</m:t>
            </m:r>
          </m:sub>
        </m:sSub>
      </m:oMath>
      <w:r>
        <w:t xml:space="preserve">,</w:t>
      </w:r>
      <w:r>
        <w:t xml:space="preserve"> </w:t>
      </w:r>
      <m:oMath>
        <m:sSub>
          <m:e>
            <m:r>
              <m:t>b</m:t>
            </m:r>
          </m:e>
          <m:sub>
            <m:r>
              <m:t>𝒌</m:t>
            </m:r>
          </m:sub>
        </m:sSub>
      </m:oMath>
      <w:r>
        <w:t xml:space="preserve">, and</w:t>
      </w:r>
      <w:r>
        <w:t xml:space="preserve"> </w:t>
      </w:r>
      <m:oMath>
        <m:sSub>
          <m:e>
            <m:r>
              <m:t>D</m:t>
            </m:r>
          </m:e>
          <m:sub>
            <m:r>
              <m:t>𝒌</m:t>
            </m:r>
          </m:sub>
        </m:sSub>
      </m:oMath>
      <w:r>
        <w:t xml:space="preserve"> </w:t>
      </w:r>
      <w:r>
        <w:t xml:space="preserve">and by the fermionic ladder operators</w:t>
      </w:r>
      <w:r>
        <w:t xml:space="preserve"> </w:t>
      </w:r>
      <m:oMath>
        <m:sSub>
          <m:e>
            <m:r>
              <m:t>c</m:t>
            </m:r>
          </m:e>
          <m:sub>
            <m:r>
              <m:rPr>
                <m:sty m:val="p"/>
              </m:rPr>
              <m:t>±</m:t>
            </m:r>
            <m:r>
              <m:t>𝒌</m:t>
            </m:r>
          </m:sub>
        </m:sSub>
      </m:oMath>
      <w:r>
        <w:t xml:space="preserve"> </w:t>
      </w:r>
      <w:r>
        <w:t xml:space="preserve">and</w:t>
      </w:r>
      <w:r>
        <w:t xml:space="preserve"> </w:t>
      </w:r>
      <m:oMath>
        <m:sSubSup>
          <m:e>
            <m:r>
              <m:t>c</m:t>
            </m:r>
          </m:e>
          <m:sub>
            <m:r>
              <m:rPr>
                <m:sty m:val="p"/>
              </m:rPr>
              <m:t>±</m:t>
            </m:r>
            <m:r>
              <m:t>𝒌</m:t>
            </m:r>
          </m:sub>
          <m:sup>
            <m:r>
              <m:rPr>
                <m:sty m:val="p"/>
              </m:rPr>
              <m:t>†</m:t>
            </m:r>
          </m:sup>
        </m:sSubSup>
      </m:oMath>
      <w:r>
        <w:t xml:space="preserve">. It consists of a kinetic term with coupling</w:t>
      </w:r>
      <w:r>
        <w:t xml:space="preserve"> </w:t>
      </w:r>
      <m:oMath>
        <m:sSub>
          <m:e>
            <m:r>
              <m:t>a</m:t>
            </m:r>
          </m:e>
          <m:sub>
            <m:r>
              <m:t>0</m:t>
            </m:r>
          </m:sub>
        </m:sSub>
        <m:r>
          <m:rPr>
            <m:sty m:val="p"/>
          </m:rPr>
          <m:t>−</m:t>
        </m:r>
        <m:sSub>
          <m:e>
            <m:r>
              <m:t>b</m:t>
            </m:r>
          </m:e>
          <m:sub>
            <m:r>
              <m:t>𝒌</m:t>
            </m:r>
          </m:sub>
        </m:sSub>
      </m:oMath>
      <w:r>
        <w:t xml:space="preserve"> </w:t>
      </w:r>
      <w:r>
        <w:t xml:space="preserve">and a pairing term with coupling</w:t>
      </w:r>
      <w:r>
        <w:t xml:space="preserve"> </w:t>
      </w:r>
      <m:oMath>
        <m:sSub>
          <m:e>
            <m:r>
              <m:t>D</m:t>
            </m:r>
          </m:e>
          <m:sub>
            <m:r>
              <m:t>𝒌</m:t>
            </m:r>
          </m:sub>
        </m:sSub>
      </m:oMath>
      <w:r>
        <w:t xml:space="preserve">, where</w:t>
      </w:r>
      <w:r>
        <w:t xml:space="preserve"> </w:t>
      </w:r>
      <m:oMath>
        <m:sSub>
          <m:e>
            <m:r>
              <m:t>a</m:t>
            </m:r>
          </m:e>
          <m:sub>
            <m:r>
              <m:t>0</m:t>
            </m:r>
          </m:sub>
        </m:sSub>
      </m:oMath>
      <w:r>
        <w:t xml:space="preserve"> </w:t>
      </w:r>
      <w:r>
        <w:t xml:space="preserve">is time dependent. Consider driving the system with a square-wave signal of period</w:t>
      </w:r>
      <w:r>
        <w:t xml:space="preserve"> </w:t>
      </w:r>
      <m:oMath>
        <m:r>
          <m:t>T</m:t>
        </m:r>
      </m:oMath>
      <w:r>
        <w:t xml:space="preserve"> </w:t>
      </w:r>
      <w:r>
        <w:t xml:space="preserve">and a 50% duty cycle, such that the first half-cycle flips the spins while the second half-cycle does not. The Hamiltonian during the</w:t>
      </w:r>
      <w:r>
        <w:t xml:space="preserve"> </w:t>
      </w:r>
      <m:oMath>
        <m:r>
          <m:t>n</m:t>
        </m:r>
      </m:oMath>
      <w:r>
        <w:t xml:space="preserve">th cycle is then</w:t>
      </w:r>
    </w:p>
    <w:tbl>
      <w:tblPr>
        <w:tblW w:w="4153" w:type="dxa"/>
        <w:jc w:val="center"/>
        <w:tblBorders>
          <w:top w:val="nil"/>
          <w:left w:val="nil"/>
          <w:bottom w:val="nil"/>
          <w:right w:val="nil"/>
          <w:insideH w:val="nil"/>
          <w:insideV w:val="nil"/>
        </w:tblBorders>
        <w:tblLayout w:type="fixed"/>
        <w:tblCellMar>
          <w:left w:w="0" w:type="dxa"/>
          <w:right w:w="0" w:type="dxa"/>
        </w:tblCellMar>
        <w:tblLook w:val="0000"/>
      </w:tblPr>
      <w:tblGrid>
        <w:gridCol w:w="3533"/>
        <w:gridCol w:w="620"/>
      </w:tblGrid>
      <w:tr>
        <w:trPr>
          <w:cantSplit/>
        </w:trPr>
        <w:tc>
          <w:tcPr>
            <w:tcW w:w="3533" w:type="dxa"/>
            <w:vAlign w:val="center"/>
          </w:tcPr>
          <w:p>
            <w:pPr>
              <w:spacing w:before="60" w:after="60" w:line="300" w:lineRule="auto"/>
              <w:jc w:val="center"/>
            </w:pPr>
            <m:oMathPara>
              <m:oMathParaPr>
                <m:jc m:val="center"/>
              </m:oMathParaPr>
              <m:oMath>
                <m:sSub>
                  <m:e>
                    <m:acc>
                      <m:accPr>
                        <m:chr m:val="̂"/>
                      </m:accPr>
                      <m:e>
                        <m:r>
                          <m:t>H</m:t>
                        </m:r>
                      </m:e>
                    </m:acc>
                  </m:e>
                  <m:sub>
                    <m:r>
                      <m:t>𝒌</m:t>
                    </m:r>
                  </m:sub>
                </m:sSub>
                <m:d>
                  <m:dPr>
                    <m:begChr m:val="("/>
                    <m:endChr m:val=")"/>
                    <m:grow/>
                  </m:dPr>
                  <m:e>
                    <m:r>
                      <m:t>t</m:t>
                    </m:r>
                  </m:e>
                </m:d>
                <m:r>
                  <m:rPr>
                    <m:sty m:val="p"/>
                  </m:rPr>
                  <m:t>=</m:t>
                </m:r>
                <m:d>
                  <m:dPr>
                    <m:begChr m:val="{"/>
                    <m:endChr m:val=""/>
                    <m:grow/>
                  </m:dPr>
                  <m:e>
                    <m:m>
                      <m:mPr>
                        <m:baseJc m:val="center"/>
                        <m:plcHide m:val="on"/>
                        <m:mcs>
                          <m:mc>
                            <m:mcPr>
                              <m:count m:val="1"/>
                              <m:mcJc m:val="left"/>
                            </m:mcPr>
                          </m:mc>
                        </m:mcs>
                      </m:mPr>
                      <m:mr>
                        <m:e>
                          <m:sSubSup>
                            <m:e>
                              <m:acc>
                                <m:accPr>
                                  <m:chr m:val="̂"/>
                                </m:accPr>
                                <m:e>
                                  <m:r>
                                    <m:t>H</m:t>
                                  </m:r>
                                </m:e>
                              </m:acc>
                            </m:e>
                            <m:sub>
                              <m:r>
                                <m:t>𝒌</m:t>
                              </m:r>
                            </m:sub>
                            <m:sup>
                              <m:d>
                                <m:dPr>
                                  <m:begChr m:val="("/>
                                  <m:endChr m:val=")"/>
                                  <m:grow/>
                                </m:dPr>
                                <m:e>
                                  <m:r>
                                    <m:t>0</m:t>
                                  </m:r>
                                </m:e>
                              </m:d>
                            </m:sup>
                          </m:sSubSup>
                          <m:r>
                            <m:rPr>
                              <m:sty m:val="p"/>
                            </m:rPr>
                            <m:t>,</m:t>
                          </m:r>
                        </m:e>
                      </m:mr>
                      <m:mr>
                        <m:e>
                          <m:r>
                            <m:rPr>
                              <m:nor/>
                            </m:rPr>
                            <m:t xml:space="preserve"> </m:t>
                          </m:r>
                          <m:r>
                            <m:t>n</m:t>
                          </m:r>
                          <m:r>
                            <m:t>T</m:t>
                          </m:r>
                          <m:r>
                            <m:rPr>
                              <m:sty m:val="p"/>
                            </m:rPr>
                            <m:t>≤</m:t>
                          </m:r>
                          <m:r>
                            <m:t>t</m:t>
                          </m:r>
                          <m:r>
                            <m:rPr>
                              <m:sty m:val="p"/>
                            </m:rPr>
                            <m:t>&lt;</m:t>
                          </m:r>
                          <m:d>
                            <m:dPr>
                              <m:begChr m:val="("/>
                              <m:endChr m:val=")"/>
                              <m:grow/>
                            </m:dPr>
                            <m:e>
                              <m:r>
                                <m:t>n</m:t>
                              </m:r>
                              <m:r>
                                <m:rPr>
                                  <m:sty m:val="p"/>
                                </m:rPr>
                                <m:t>+</m:t>
                              </m:r>
                              <m:f>
                                <m:fPr>
                                  <m:type m:val="bar"/>
                                </m:fPr>
                                <m:num>
                                  <m:r>
                                    <m:t>1</m:t>
                                  </m:r>
                                </m:num>
                                <m:den>
                                  <m:r>
                                    <m:t>2</m:t>
                                  </m:r>
                                </m:den>
                              </m:f>
                            </m:e>
                          </m:d>
                          <m:r>
                            <m:t>T</m:t>
                          </m:r>
                          <m:r>
                            <m:rPr>
                              <m:sty m:val="p"/>
                            </m:rPr>
                            <m:t>,</m:t>
                          </m:r>
                        </m:e>
                      </m:mr>
                      <m:mr>
                        <m:e>
                          <m:sSub>
                            <m:e>
                              <m:r>
                                <m:t>a</m:t>
                              </m:r>
                            </m:e>
                            <m:sub>
                              <m:r>
                                <m:t>1</m:t>
                              </m:r>
                            </m:sub>
                          </m:sSub>
                          <m:d>
                            <m:dPr>
                              <m:begChr m:val="("/>
                              <m:endChr m:val=")"/>
                              <m:grow/>
                            </m:dPr>
                            <m:e>
                              <m:sSubSup>
                                <m:e>
                                  <m:r>
                                    <m:t>c</m:t>
                                  </m:r>
                                </m:e>
                                <m:sub>
                                  <m:r>
                                    <m:t>𝒌</m:t>
                                  </m:r>
                                </m:sub>
                                <m:sup>
                                  <m:r>
                                    <m:rPr>
                                      <m:sty m:val="p"/>
                                    </m:rPr>
                                    <m:t>†</m:t>
                                  </m:r>
                                </m:sup>
                              </m:sSubSup>
                              <m:sSubSup>
                                <m:e>
                                  <m:r>
                                    <m:t>c</m:t>
                                  </m:r>
                                </m:e>
                                <m:sub>
                                  <m:r>
                                    <m:rPr>
                                      <m:sty m:val="p"/>
                                    </m:rPr>
                                    <m:t>−</m:t>
                                  </m:r>
                                  <m:r>
                                    <m:t>𝒌</m:t>
                                  </m:r>
                                </m:sub>
                                <m:sup>
                                  <m:r>
                                    <m:rPr>
                                      <m:sty m:val="p"/>
                                    </m:rPr>
                                    <m:t>†</m:t>
                                  </m:r>
                                </m:sup>
                              </m:sSubSup>
                              <m:r>
                                <m:rPr>
                                  <m:sty m:val="p"/>
                                </m:rPr>
                                <m:t>+</m:t>
                              </m:r>
                              <m:r>
                                <m:rPr>
                                  <m:nor/>
                                </m:rPr>
                                <m:t>h.c.</m:t>
                              </m:r>
                            </m:e>
                          </m:d>
                          <m:r>
                            <m:rPr>
                              <m:sty m:val="p"/>
                            </m:rPr>
                            <m:t>,</m:t>
                          </m:r>
                        </m:e>
                      </m:mr>
                      <m:mr>
                        <m:e>
                          <m:r>
                            <m:rPr>
                              <m:nor/>
                            </m:rPr>
                            <m:t xml:space="preserve"> </m:t>
                          </m:r>
                          <m:d>
                            <m:dPr>
                              <m:begChr m:val="("/>
                              <m:endChr m:val=")"/>
                              <m:grow/>
                            </m:dPr>
                            <m:e>
                              <m:r>
                                <m:t>n</m:t>
                              </m:r>
                              <m:r>
                                <m:rPr>
                                  <m:sty m:val="p"/>
                                </m:rPr>
                                <m:t>+</m:t>
                              </m:r>
                              <m:f>
                                <m:fPr>
                                  <m:type m:val="bar"/>
                                </m:fPr>
                                <m:num>
                                  <m:r>
                                    <m:t>1</m:t>
                                  </m:r>
                                </m:num>
                                <m:den>
                                  <m:r>
                                    <m:t>2</m:t>
                                  </m:r>
                                </m:den>
                              </m:f>
                            </m:e>
                          </m:d>
                          <m:r>
                            <m:t>T</m:t>
                          </m:r>
                          <m:r>
                            <m:rPr>
                              <m:sty m:val="p"/>
                            </m:rPr>
                            <m:t>≤</m:t>
                          </m:r>
                          <m:r>
                            <m:t>t</m:t>
                          </m:r>
                          <m:r>
                            <m:rPr>
                              <m:sty m:val="p"/>
                            </m:rPr>
                            <m:t>&lt;</m:t>
                          </m:r>
                          <m:d>
                            <m:dPr>
                              <m:begChr m:val="("/>
                              <m:endChr m:val=")"/>
                              <m:grow/>
                            </m:dPr>
                            <m:e>
                              <m:r>
                                <m:t>n</m:t>
                              </m:r>
                              <m:r>
                                <m:rPr>
                                  <m:sty m:val="p"/>
                                </m:rPr>
                                <m:t>+</m:t>
                              </m:r>
                              <m:r>
                                <m:t>1</m:t>
                              </m:r>
                            </m:e>
                          </m:d>
                          <m:r>
                            <m:t>T</m:t>
                          </m:r>
                          <m:r>
                            <m:rPr>
                              <m:nor/>
                            </m:rPr>
                            <m:t>.</m:t>
                          </m:r>
                        </m:e>
                      </m:mr>
                    </m:m>
                  </m:e>
                </m:d>
              </m:oMath>
            </m:oMathPara>
          </w:p>
        </w:tc>
        <w:tc>
          <w:tcPr>
            <w:tcW w:w="620" w:type="dxa"/>
            <w:vAlign w:val="center"/>
          </w:tcPr>
          <w:p>
            <w:pPr>
              <w:spacing w:before="40" w:after="40" w:line="300" w:lineRule="auto"/>
              <w:jc w:val="right"/>
            </w:pPr>
            <w:r>
              <w:t>(19)</w:t>
            </w:r>
          </w:p>
        </w:tc>
      </w:tr>
    </w:tbl>
    <w:p>
      <w:pPr>
        <w:pStyle w:val="FirstParagraph"/>
      </w:pPr>
      <w:r>
        <w:t xml:space="preserve">For a particular momentum,</w:t>
      </w:r>
      <w:r>
        <w:t xml:space="preserve"> </w:t>
      </w:r>
      <m:oMath>
        <m:r>
          <m:t>𝒌</m:t>
        </m:r>
        <m:r>
          <m:rPr>
            <m:sty m:val="p"/>
          </m:rPr>
          <m:t>=</m:t>
        </m:r>
        <m:sSub>
          <m:e>
            <m:r>
              <m:t>𝒌</m:t>
            </m:r>
          </m:e>
          <m:sub>
            <m:r>
              <m:t>0</m:t>
            </m:r>
          </m:sub>
        </m:sSub>
      </m:oMath>
      <w:r>
        <w:t xml:space="preserve">, if</w:t>
      </w:r>
      <w:r>
        <w:t xml:space="preserve"> </w:t>
      </w:r>
      <m:oMath>
        <m:sSub>
          <m:e>
            <m:r>
              <m:t>a</m:t>
            </m:r>
          </m:e>
          <m:sub>
            <m:r>
              <m:t>0</m:t>
            </m:r>
          </m:sub>
        </m:sSub>
        <m:r>
          <m:rPr>
            <m:sty m:val="p"/>
          </m:rPr>
          <m:t>=</m:t>
        </m:r>
        <m:sSub>
          <m:e>
            <m:r>
              <m:t>b</m:t>
            </m:r>
          </m:e>
          <m:sub>
            <m:sSub>
              <m:e>
                <m:r>
                  <m:t>𝒌</m:t>
                </m:r>
              </m:e>
              <m:sub>
                <m:r>
                  <m:t>0</m:t>
                </m:r>
              </m:sub>
            </m:sSub>
          </m:sub>
        </m:sSub>
      </m:oMath>
      <w:r>
        <w:t xml:space="preserve"> </w:t>
      </w:r>
      <w:r>
        <w:t xml:space="preserve">and</w:t>
      </w:r>
      <w:r>
        <w:t xml:space="preserve"> </w:t>
      </w:r>
      <m:oMath>
        <m:sSub>
          <m:e>
            <m:r>
              <m:t>ω</m:t>
            </m:r>
          </m:e>
          <m:sub>
            <m:r>
              <m:t>D</m:t>
            </m:r>
          </m:sub>
        </m:sSub>
        <m:r>
          <m:rPr>
            <m:sty m:val="p"/>
          </m:rPr>
          <m:t>≡</m:t>
        </m:r>
        <m:r>
          <m:t>2</m:t>
        </m:r>
        <m:r>
          <m:t>π</m:t>
        </m:r>
        <m:r>
          <m:rPr>
            <m:sty m:val="p"/>
          </m:rPr>
          <m:t>/</m:t>
        </m:r>
        <m:r>
          <m:t>T</m:t>
        </m:r>
        <m:r>
          <m:rPr>
            <m:sty m:val="p"/>
          </m:rPr>
          <m:t>=</m:t>
        </m:r>
        <m:r>
          <m:t>2</m:t>
        </m:r>
        <m:sSub>
          <m:e>
            <m:r>
              <m:t>D</m:t>
            </m:r>
          </m:e>
          <m:sub>
            <m:sSub>
              <m:e>
                <m:r>
                  <m:t>𝒌</m:t>
                </m:r>
              </m:e>
              <m:sub>
                <m:r>
                  <m:t>0</m:t>
                </m:r>
              </m:sub>
            </m:sSub>
          </m:sub>
        </m:sSub>
      </m:oMath>
      <w:r>
        <w:t xml:space="preserve">, the wave function repeats after a time</w:t>
      </w:r>
      <w:r>
        <w:t xml:space="preserve"> </w:t>
      </w:r>
      <m:oMath>
        <m:r>
          <m:t>2</m:t>
        </m:r>
        <m:r>
          <m:t>T</m:t>
        </m:r>
      </m:oMath>
      <w:r>
        <w:t xml:space="preserve">. This subharmonic response is a hallmark of discrete time-crystalline behavior.</w:t>
      </w:r>
    </w:p>
    <w:p>
      <w:pPr>
        <w:pStyle w:val="BodyText"/>
      </w:pPr>
      <w:r>
        <w:t xml:space="preserve">For the one-dimensional (1D) transverse-field Ising model (TFIM), the subharmonic conditions reduce to</w:t>
      </w:r>
      <w:r>
        <w:t xml:space="preserve"> </w:t>
      </w:r>
      <m:oMath>
        <m:sSub>
          <m:e>
            <m:r>
              <m:t>a</m:t>
            </m:r>
          </m:e>
          <m:sub>
            <m:r>
              <m:t>0</m:t>
            </m:r>
          </m:sub>
        </m:sSub>
        <m:r>
          <m:rPr>
            <m:sty m:val="p"/>
          </m:rPr>
          <m:t>=</m:t>
        </m:r>
        <m:sSub>
          <m:e>
            <m:r>
              <m:t>b</m:t>
            </m:r>
          </m:e>
          <m:sub>
            <m:sSub>
              <m:e>
                <m:r>
                  <m:t>k</m:t>
                </m:r>
              </m:e>
              <m:sub>
                <m:r>
                  <m:t>0</m:t>
                </m:r>
              </m:sub>
            </m:sSub>
          </m:sub>
        </m:sSub>
        <m:r>
          <m:rPr>
            <m:sty m:val="p"/>
          </m:rPr>
          <m:t>=</m:t>
        </m:r>
        <m:r>
          <m:rPr>
            <m:sty m:val="p"/>
          </m:rPr>
          <m:t>cos</m:t>
        </m:r>
        <m:sSub>
          <m:e>
            <m:r>
              <m:t>k</m:t>
            </m:r>
          </m:e>
          <m:sub>
            <m:r>
              <m:t>0</m:t>
            </m:r>
          </m:sub>
        </m:sSub>
      </m:oMath>
      <w:r>
        <w:t xml:space="preserve"> </w:t>
      </w:r>
      <w:r>
        <w:t xml:space="preserve">and</w:t>
      </w:r>
      <w:r>
        <w:t xml:space="preserve"> </w:t>
      </w:r>
      <m:oMath>
        <m:sSub>
          <m:e>
            <m:r>
              <m:t>ω</m:t>
            </m:r>
          </m:e>
          <m:sub>
            <m:r>
              <m:t>D</m:t>
            </m:r>
          </m:sub>
        </m:sSub>
        <m:r>
          <m:rPr>
            <m:sty m:val="p"/>
          </m:rPr>
          <m:t>=</m:t>
        </m:r>
        <m:r>
          <m:t>2</m:t>
        </m:r>
        <m:r>
          <m:rPr>
            <m:sty m:val="p"/>
          </m:rPr>
          <m:t>sin</m:t>
        </m:r>
        <m:sSub>
          <m:e>
            <m:r>
              <m:t>k</m:t>
            </m:r>
          </m:e>
          <m:sub>
            <m:r>
              <m:t>0</m:t>
            </m:r>
          </m:sub>
        </m:sSub>
      </m:oMath>
      <w:r>
        <w:t xml:space="preserve">. However, a small deviation of the momentum from the specific value</w:t>
      </w:r>
      <w:r>
        <w:t xml:space="preserve"> </w:t>
      </w:r>
      <m:oMath>
        <m:sSub>
          <m:e>
            <m:r>
              <m:t>k</m:t>
            </m:r>
          </m:e>
          <m:sub>
            <m:r>
              <m:t>0</m:t>
            </m:r>
          </m:sub>
        </m:sSub>
      </m:oMath>
      <w:r>
        <w:t xml:space="preserve"> </w:t>
      </w:r>
      <w:r>
        <w:t xml:space="preserve">destroys the time-crystalline response. In the two-dimensional (2D) TFIM, by contrast, the conditions become</w:t>
      </w:r>
      <w:r>
        <w:t xml:space="preserve"> </w:t>
      </w:r>
      <m:oMath>
        <m:sSub>
          <m:e>
            <m:r>
              <m:t>a</m:t>
            </m:r>
          </m:e>
          <m:sub>
            <m:r>
              <m:t>0</m:t>
            </m:r>
          </m:sub>
        </m:sSub>
        <m:r>
          <m:rPr>
            <m:sty m:val="p"/>
          </m:rPr>
          <m:t>=</m:t>
        </m:r>
        <m:sSub>
          <m:e>
            <m:r>
              <m:t>b</m:t>
            </m:r>
          </m:e>
          <m:sub>
            <m:r>
              <m:t>𝒌</m:t>
            </m:r>
          </m:sub>
        </m:sSub>
        <m:r>
          <m:rPr>
            <m:sty m:val="p"/>
          </m:rPr>
          <m:t>=</m:t>
        </m:r>
        <m:r>
          <m:rPr>
            <m:sty m:val="p"/>
          </m:rPr>
          <m:t>cos</m:t>
        </m:r>
        <m:sSub>
          <m:e>
            <m:r>
              <m:t>k</m:t>
            </m:r>
          </m:e>
          <m:sub>
            <m:r>
              <m:t>x</m:t>
            </m:r>
          </m:sub>
        </m:sSub>
        <m:r>
          <m:rPr>
            <m:sty m:val="p"/>
          </m:rPr>
          <m:t>+</m:t>
        </m:r>
        <m:r>
          <m:t>α</m:t>
        </m:r>
        <m:r>
          <m:rPr>
            <m:sty m:val="p"/>
          </m:rPr>
          <m:t>cos</m:t>
        </m:r>
        <m:sSub>
          <m:e>
            <m:r>
              <m:t>k</m:t>
            </m:r>
          </m:e>
          <m:sub>
            <m:r>
              <m:t>y</m:t>
            </m:r>
          </m:sub>
        </m:sSub>
      </m:oMath>
      <w:r>
        <w:t xml:space="preserve"> </w:t>
      </w:r>
      <w:r>
        <w:t xml:space="preserve">and</w:t>
      </w:r>
      <w:r>
        <w:t xml:space="preserve"> </w:t>
      </w:r>
      <m:oMath>
        <m:sSub>
          <m:e>
            <m:r>
              <m:t>ω</m:t>
            </m:r>
          </m:e>
          <m:sub>
            <m:r>
              <m:t>D</m:t>
            </m:r>
          </m:sub>
        </m:sSub>
        <m:r>
          <m:rPr>
            <m:sty m:val="p"/>
          </m:rPr>
          <m:t>=</m:t>
        </m:r>
        <m:r>
          <m:t>2</m:t>
        </m:r>
        <m:r>
          <m:rPr>
            <m:sty m:val="p"/>
          </m:rPr>
          <m:t>sin</m:t>
        </m:r>
        <m:sSub>
          <m:e>
            <m:r>
              <m:t>k</m:t>
            </m:r>
          </m:e>
          <m:sub>
            <m:r>
              <m:t>x</m:t>
            </m:r>
          </m:sub>
        </m:sSub>
        <m:r>
          <m:rPr>
            <m:sty m:val="p"/>
          </m:rPr>
          <m:t>+</m:t>
        </m:r>
        <m:r>
          <m:t>2</m:t>
        </m:r>
        <m:r>
          <m:t>α</m:t>
        </m:r>
        <m:r>
          <m:rPr>
            <m:sty m:val="p"/>
          </m:rPr>
          <m:t>sin</m:t>
        </m:r>
        <m:sSub>
          <m:e>
            <m:r>
              <m:t>k</m:t>
            </m:r>
          </m:e>
          <m:sub>
            <m:r>
              <m:t>y</m:t>
            </m:r>
          </m:sub>
        </m:sSub>
      </m:oMath>
      <w:r>
        <w:t xml:space="preserve">. Setting</w:t>
      </w:r>
      <w:r>
        <w:t xml:space="preserve"> </w:t>
      </w:r>
      <m:oMath>
        <m:r>
          <m:t>α</m:t>
        </m:r>
        <m:r>
          <m:rPr>
            <m:sty m:val="p"/>
          </m:rPr>
          <m:t>=</m:t>
        </m:r>
        <m:r>
          <m:t>0</m:t>
        </m:r>
      </m:oMath>
      <w:r>
        <w:t xml:space="preserve"> </w:t>
      </w:r>
      <w:r>
        <w:t xml:space="preserve">recovers the 1D case. The additional tunable parameter in two dimensions therefore permits a continuous range of momenta supporting a stable time crystalline response. In the 1D TFIM, no analogous parameter is available, precluding the construction of a stable time crystal by this mechanism.</w:t>
      </w:r>
    </w:p>
    <w:p>
      <w:pPr>
        <w:pStyle w:val="BodyText"/>
      </w:pPr>
      <w:r>
        <w:t xml:space="preserve">To obtain stable time-crystalline responses in 1D, one can supplement the TFIM with a next-nearest-neighbor (NNN), or equivalently three-spin, interaction. The model remains integrable, while the subharmonic conditions become</w:t>
      </w:r>
      <w:r>
        <w:t xml:space="preserve"> </w:t>
      </w:r>
      <m:oMath>
        <m:sSub>
          <m:e>
            <m:r>
              <m:t>a</m:t>
            </m:r>
          </m:e>
          <m:sub>
            <m:r>
              <m:t>0</m:t>
            </m:r>
          </m:sub>
        </m:sSub>
        <m:r>
          <m:rPr>
            <m:sty m:val="p"/>
          </m:rPr>
          <m:t>=</m:t>
        </m:r>
        <m:sSub>
          <m:e>
            <m:r>
              <m:t>b</m:t>
            </m:r>
          </m:e>
          <m:sub>
            <m:r>
              <m:t>k</m:t>
            </m:r>
          </m:sub>
        </m:sSub>
        <m:r>
          <m:rPr>
            <m:sty m:val="p"/>
          </m:rPr>
          <m:t>=</m:t>
        </m:r>
        <m:r>
          <m:rPr>
            <m:sty m:val="p"/>
          </m:rPr>
          <m:t>cos</m:t>
        </m:r>
        <m:r>
          <m:t>k</m:t>
        </m:r>
        <m:r>
          <m:rPr>
            <m:sty m:val="p"/>
          </m:rPr>
          <m:t>+</m:t>
        </m:r>
        <m:r>
          <m:t>λ</m:t>
        </m:r>
        <m:r>
          <m:rPr>
            <m:sty m:val="p"/>
          </m:rPr>
          <m:t>cos</m:t>
        </m:r>
        <m:r>
          <m:t>2</m:t>
        </m:r>
        <m:r>
          <m:t>k</m:t>
        </m:r>
      </m:oMath>
      <w:r>
        <w:t xml:space="preserve"> </w:t>
      </w:r>
      <w:r>
        <w:t xml:space="preserve">and</w:t>
      </w:r>
      <w:r>
        <w:t xml:space="preserve"> </w:t>
      </w:r>
      <m:oMath>
        <m:sSub>
          <m:e>
            <m:r>
              <m:t>ω</m:t>
            </m:r>
          </m:e>
          <m:sub>
            <m:r>
              <m:t>D</m:t>
            </m:r>
          </m:sub>
        </m:sSub>
        <m:r>
          <m:rPr>
            <m:sty m:val="p"/>
          </m:rPr>
          <m:t>=</m:t>
        </m:r>
        <m:r>
          <m:t>2</m:t>
        </m:r>
        <m:r>
          <m:rPr>
            <m:sty m:val="p"/>
          </m:rPr>
          <m:t>sin</m:t>
        </m:r>
        <m:r>
          <m:t>k</m:t>
        </m:r>
        <m:r>
          <m:rPr>
            <m:sty m:val="p"/>
          </m:rPr>
          <m:t>+</m:t>
        </m:r>
        <m:r>
          <m:t>2</m:t>
        </m:r>
        <m:r>
          <m:t>λ</m:t>
        </m:r>
        <m:r>
          <m:rPr>
            <m:sty m:val="p"/>
          </m:rPr>
          <m:t>sin</m:t>
        </m:r>
        <m:r>
          <m:t>2</m:t>
        </m:r>
        <m:r>
          <m:t>k</m:t>
        </m:r>
      </m:oMath>
      <w:r>
        <w:t xml:space="preserve">, where</w:t>
      </w:r>
      <w:r>
        <w:t xml:space="preserve"> </w:t>
      </w:r>
      <m:oMath>
        <m:r>
          <m:t>λ</m:t>
        </m:r>
      </m:oMath>
      <w:r>
        <w:t xml:space="preserve"> </w:t>
      </w:r>
      <w:r>
        <w:t xml:space="preserve">denotes the three-spin coupling. This additional interaction provides the tunability needed to construct a 1D time crystal and overcome the limitations of the 1D TFIM.</w:t>
      </w:r>
    </w:p>
    <w:bookmarkEnd w:id="31"/>
    <w:bookmarkEnd w:id="32"/>
    <w:bookmarkStart w:id="33" w:name="iv.-experimental-realizations"/>
    <w:p>
      <w:pPr>
        <w:pStyle w:val="Heading1"/>
      </w:pPr>
      <w:r>
        <w:t xml:space="preserve">IV. EXPERIMENTAL REALIZATIONS</w:t>
      </w:r>
    </w:p>
    <w:p>
      <w:pPr>
        <w:pStyle w:val="FirstParagraph"/>
      </w:pPr>
      <w:r>
        <w:t xml:space="preserve">The first observations of discrete time crystalline order used two complementary platforms. Zhang et al. (2017) drove a chain of trapped ions with long range Ising interactions and engineered disorder. They observed a period doubled magnetization that remained locked at</w:t>
      </w:r>
      <w:r>
        <w:t xml:space="preserve"> </w:t>
      </w:r>
      <m:oMath>
        <m:r>
          <m:t>2</m:t>
        </m:r>
        <m:r>
          <m:t>T</m:t>
        </m:r>
      </m:oMath>
      <w:r>
        <w:t xml:space="preserve"> </w:t>
      </w:r>
      <w:r>
        <w:t xml:space="preserve">over a finite range of pulse imperfections and melted when the imperfections became large. Because the chain was finite and the interactions long ranged, it is difficult to establish that the stabilization in this experiment is genuinely due to many body localization. Choi et al. (2017) used a dense ensemble of nitrogen-vacancy (NV) centers in diamond with disordered dipolar interactions. In this system the order is not stabilized by localization; instead, slow, critical thermalization of the dipolar ensemble extends its lifetime. Both experiments demonstrated a rigid subharmonic response, but neither could test persistence to infinite times.</w:t>
      </w:r>
    </w:p>
    <w:p>
      <w:pPr>
        <w:pStyle w:val="BodyText"/>
      </w:pPr>
      <w:r>
        <w:t xml:space="preserve">Experiments in clean systems followed, which is the setting of primary interest in this chapter. NMR experiments on star shaped molecular clusters (Pal et al., 2018) and on a spatially ordered dipolar crystal (Rovny et al., 2018) showed signatures of time crystalline order without engineered disorder. The mechanism that stabilizes the response in the dipolar crystal is still debated, with prethermalization and long range interactions as the main candidates. A prethermal discrete time crystal was subsequently demonstrated with trapped ions (Kyprianidis et al., 2021). Its lifetime grows with the drive frequency, as expected from the slow heating of the prethermal regime discussed in Sec. II B. In Rydberg atom arrays (Bluvstein et al., 2021), periodic driving stabilizes period doubled revivals of quantum many-body scarred states (Serbyn et al., 2021; Turner et al., 2018). This experiment shows that subharmonic dynamics can arise from restricted, rather than complete, algebraic structure in the spectrum.</w:t>
      </w:r>
    </w:p>
    <w:p>
      <w:pPr>
        <w:pStyle w:val="BodyText"/>
      </w:pPr>
      <w:r>
        <w:t xml:space="preserve">Later experiments addressed eigenstate order directly. Randall et al. (2021) used a programmable register of</w:t>
      </w:r>
      <w:r>
        <w:t xml:space="preserve"> </w:t>
      </w:r>
      <w:r>
        <w:rPr>
          <w:vertAlign w:val="superscript"/>
        </w:rPr>
        <w:t xml:space="preserve">13</w:t>
      </w:r>
      <w:r>
        <w:t xml:space="preserve">C nuclear spins surrounding an NV center to probe a many body localized discrete time crystal. Mi et al. (2022) used a superconducting quantum processor to show that time-crystalline order persists across the spectrum, including for random initial states. Their echo protocol was designed to separate the intrinsic decay of the order from decoherence. A realization on a large cloud based quantum computer followed (Frey &amp; Rachel, 2022), showing that such Floquet circuits can now be implemented on general purpose quantum hardware.</w:t>
      </w:r>
    </w:p>
    <w:p>
      <w:pPr>
        <w:pStyle w:val="BodyText"/>
      </w:pPr>
      <w:r>
        <w:t xml:space="preserve">Time crystalline behaviour has also been observed beyond closed spin systems. Magnon condensates in superfluid</w:t>
      </w:r>
      <w:r>
        <w:t xml:space="preserve"> </w:t>
      </w:r>
      <w:r>
        <w:rPr>
          <w:vertAlign w:val="superscript"/>
        </w:rPr>
        <w:t xml:space="preserve">3</w:t>
      </w:r>
      <w:r>
        <w:t xml:space="preserve">He exhibit a time quasicrystal and its transition to a time crystal (Autti et al., 2018). In atom cavity systems, dissipation stabilizes a period doubled response (Keßler et al., 2021), and continuous pumping produces self sustained oscillations that break continuous time translation symmetry (Kongkhambut et al., 2022). These open system realizations show that dissipation can stabilize, rather than only destroy, time crystalline order.</w:t>
      </w:r>
    </w:p>
    <w:p>
      <w:pPr>
        <w:pStyle w:val="BodyText"/>
      </w:pPr>
      <w:r>
        <w:t xml:space="preserve">Several of these experiments connect directly to the themes of this chapter. Floquet circuits on superconducting processors closely match the kicked Ising chain of Eqs. (5) and (6), with integrability breaking terms that can be tuned. When the longitudinal fields vanish, the circuit reduces to a free fermion model, so the free fermion physics discussed in Sec. III B can be probed directly. The phantom helix experiments in ultracold atoms (Jepsen et al., 2022) probe the dynamical symmetry physics of Sec. III A in an isolated Heisenberg magnet. In all platforms, however, the observation time is limited by decoherence, and hybrid quantum-classical feedback has been proposed as a way to prolong discrete time crystalline order on such hardware (Camacho &amp; Fauseweh, 2024). Separating intrinsic persistence, as required by criterion (c), from experimental limitations therefore remains a central challenge.</w:t>
      </w:r>
    </w:p>
    <w:bookmarkEnd w:id="33"/>
    <w:bookmarkStart w:id="34" w:name="v.-open-problems-and-outlook"/>
    <w:p>
      <w:pPr>
        <w:pStyle w:val="Heading1"/>
      </w:pPr>
      <w:r>
        <w:t xml:space="preserve">V. OPEN PROBLEMS AND OUTLOOK</w:t>
      </w:r>
    </w:p>
    <w:p>
      <w:pPr>
        <w:pStyle w:val="FirstParagraph"/>
      </w:pPr>
      <w:r>
        <w:t xml:space="preserve">Integrable models give an exact, analytically controlled view of what a time crystal requires. They show that persistent oscillations need commensurate spectral structure, expressed through dynamical symmetries and the</w:t>
      </w:r>
      <w:r>
        <w:t xml:space="preserve"> </w:t>
      </w:r>
      <m:oMath>
        <m:r>
          <m:t>π</m:t>
        </m:r>
      </m:oMath>
      <w:r>
        <w:t xml:space="preserve"> </w:t>
      </w:r>
      <w:r>
        <w:t xml:space="preserve">pairing of Floquet eigenstates (Secs. II B and III A). In the one-dimensional TFIM this structure is confined to isolated momenta (Sec. III B). Interactions are needed to lock the response and to stabilize it against the domain walls created by pulse errors (Sec. II B). Integrable models thus explain why the structure required for a time crystal is generically fragile. Several directions remain open.</w:t>
      </w:r>
    </w:p>
    <w:p>
      <w:pPr>
        <w:pStyle w:val="BodyText"/>
      </w:pPr>
      <w:r>
        <w:t xml:space="preserve">The first concerns clean interacting systems. It is not known whether there exists a rigorous, non perturbative example of a bulk discrete time crystal in a clean, short range, one dimensional system that persists indefinitely. Prethermal mechanisms cannot provide such an example, since a discrete symmetry cannot be spontaneously broken at finite temperature in one dimension with short range interactions. Edge modes offer an alternative at the boundary. Floquet Majorana</w:t>
      </w:r>
      <w:r>
        <w:t xml:space="preserve"> </w:t>
      </w:r>
      <m:oMath>
        <m:r>
          <m:t>π</m:t>
        </m:r>
      </m:oMath>
      <w:r>
        <w:t xml:space="preserve"> </w:t>
      </w:r>
      <w:r>
        <w:t xml:space="preserve">modes produce persistent period doubling at the ends of driven free fermion chains (Thakurathi et al., 2013), and strong and almost strong zero modes give long lived edge spins in interacting chains (Fendley, 2016; Kemp et al., 2017). Extending such edge modes to interacting Floquet chains provides one route toward long lived boundary oscillations. In the bulk, clean long range interactions in one dimension (Pizzi et al., 2021; Russomanno et al., 2017), or short range interactions in higher dimensions (Else et al., 2017), allow time crystalline order without disorder.</w:t>
      </w:r>
    </w:p>
    <w:p>
      <w:pPr>
        <w:pStyle w:val="BodyText"/>
      </w:pPr>
      <w:r>
        <w:t xml:space="preserve">A second direction concerns the robustness of dynamical symmetries. The dynamical symmetries of Heisenberg and Hubbard models discussed in Sec. III A produce persistent oscillations, but their frequencies are set by Hamiltonian parameters and shift continuously with them. They are therefore not rigid in the sense of criterion (b). An important question is whether such symmetries can be made robust, for instance through drive-induced locking, so that their frequencies become rigid. The contrast with the</w:t>
      </w:r>
      <w:r>
        <w:t xml:space="preserve"> </w:t>
      </w:r>
      <m:oMath>
        <m:sSub>
          <m:e>
            <m:r>
              <m:rPr>
                <m:scr m:val="double-struck"/>
                <m:sty m:val="p"/>
              </m:rPr>
              <m:t>Z</m:t>
            </m:r>
          </m:e>
          <m:sub>
            <m:r>
              <m:t>2</m:t>
            </m:r>
          </m:sub>
        </m:sSub>
      </m:oMath>
      <w:r>
        <w:t xml:space="preserve"> </w:t>
      </w:r>
      <w:r>
        <w:t xml:space="preserve">structure of the kicked Ising chain suggests that a discrete symmetry of the drive is the essential ingredient.</w:t>
      </w:r>
    </w:p>
    <w:p>
      <w:pPr>
        <w:pStyle w:val="BodyText"/>
      </w:pPr>
      <w:r>
        <w:t xml:space="preserve">A third direction lies between the integrable and chaotic limits. Quantum many body scars (Serbyn et al., 2021; Turner et al., 2018) and Hilbert space fragmentation (Sala et al., 2020) generate long lived oscillations from</w:t>
      </w:r>
      <w:r>
        <w:t xml:space="preserve"> </w:t>
      </w:r>
      <w:r>
        <w:rPr>
          <w:iCs/>
          <w:i/>
        </w:rPr>
        <w:t xml:space="preserve">restricted</w:t>
      </w:r>
      <w:r>
        <w:t xml:space="preserve"> </w:t>
      </w:r>
      <w:r>
        <w:t xml:space="preserve">algebraic structure. In scarred systems, approximately equally spaced towers of eigenstates play the role of a dynamical symmetry acting within a subspace, and periodic driving can stabilize the resulting revivals (Bluvstein et al., 2021). This similarity suggests that a single algebraic framework may describe non stationary many body dynamics.</w:t>
      </w:r>
    </w:p>
    <w:p>
      <w:pPr>
        <w:pStyle w:val="BodyText"/>
      </w:pPr>
      <w:r>
        <w:t xml:space="preserve">Open systems raise a further set of questions. Dissipation can stabilize time crystalline order, as in boundary time crystals (Iemini et al., 2018), in dissipative discrete time crystals without manifest symmetries or disorder (Gambetta et al., 2019), and in driven atom cavity systems (Keßler et al., 2021; Kongkhambut et al., 2022). Algebraic conditions for persistent oscillations and limit cycles under dissipation have been formulated (Buča et al., 2022, 2019). How these open system phases relate to the closed system, eigenstate based definition of a discrete time crystal, and to classical discrete time crystals (Zaletel et al., 2023), remains to be clarified.</w:t>
      </w:r>
    </w:p>
    <w:p>
      <w:pPr>
        <w:pStyle w:val="BodyText"/>
      </w:pPr>
      <w:r>
        <w:t xml:space="preserve">Responses beyond period doubling also deserve attention. Higher-order and fractional subharmonic responses (Pizzi et al., 2021), as well as time quasicrystals (Autti et al., 2018), remain largely unexplored in integrable settings, where exact solutions could clarify their spectral origin. Equation (17) with</w:t>
      </w:r>
      <w:r>
        <w:t xml:space="preserve"> </w:t>
      </w:r>
      <m:oMath>
        <m:r>
          <m:t>θ</m:t>
        </m:r>
        <m:r>
          <m:rPr>
            <m:sty m:val="p"/>
          </m:rPr>
          <m:t>=</m:t>
        </m:r>
        <m:r>
          <m:t>2</m:t>
        </m:r>
        <m:r>
          <m:t>π</m:t>
        </m:r>
        <m:r>
          <m:rPr>
            <m:sty m:val="p"/>
          </m:rPr>
          <m:t>/</m:t>
        </m:r>
        <m:r>
          <m:t>m</m:t>
        </m:r>
      </m:oMath>
      <w:r>
        <w:t xml:space="preserve"> </w:t>
      </w:r>
      <w:r>
        <w:t xml:space="preserve">provides a natural starting point for such an analysis.</w:t>
      </w:r>
    </w:p>
    <w:p>
      <w:pPr>
        <w:pStyle w:val="BodyText"/>
      </w:pPr>
      <w:r>
        <w:t xml:space="preserve">Finally, the asymptotic status of many body localization remains unsettled. Although MBL has been proven in one dimension under an assumption on level statistics (Imbrie, 2016), numerical studies questioning its stability (Šuntajs et al., 2020) and the identification of avalanche instabilities (De Roeck &amp; Huveneers, 2017; Morningstar et al., 2022) have reopened the question. Its resolution will determine whether disordered discrete time crystals are true phases of matter or merely extremely long lived crossovers. This question also motivates the disorder free mechanisms emphasized in this review.</w:t>
      </w:r>
    </w:p>
    <w:p>
      <w:pPr>
        <w:pStyle w:val="BodyText"/>
      </w:pPr>
      <w:r>
        <w:t xml:space="preserve">Time crystals extend the concept of spontaneous symmetry breaking to systems far from equilibrium. Their defining feature is not oscillation itself but its rigidity, which in Floquet systems originates from a discrete symmetry of the drive that pins the response at a fixed fraction of the drive frequency. Integrable models show most clearly what this requires, namely commensurate spectral structure protected against perturbations, and why generic systems struggle to provide it. Whether clean interacting systems can provide it indefinitely, rather than for exponentially long but finite times, remains the central open question of the field.</w:t>
      </w:r>
    </w:p>
    <w:bookmarkEnd w:id="34"/>
    <w:bookmarkStart w:id="35" w:name="acknowledgments"/>
    <w:p>
      <w:pPr>
        <w:pStyle w:val="Heading1"/>
      </w:pPr>
      <w:r>
        <w:t xml:space="preserve">ACKNOWLEDGMENTS</w:t>
      </w:r>
    </w:p>
    <w:p>
      <w:pPr>
        <w:pStyle w:val="FirstParagraph"/>
      </w:pPr>
      <w:r>
        <w:t xml:space="preserve">SM thanks the University Grants Commission, Government of India, for financial assistance through the NET fellowship. The authors acknowledge Claude (Opus 5.5, Anthropic) and Copilot for consistency checks. The authors reviewed all AI-assisted changes and take full responsibility for the manuscript.</w:t>
      </w:r>
    </w:p>
    <w:bookmarkEnd w:id="35"/>
    <w:bookmarkStart w:id="36" w:name="references"/>
    <w:p>
      <w:pPr>
        <w:pStyle w:val="Heading1"/>
      </w:pPr>
      <w:r>
        <w:t xml:space="preserve">REFERENCES</w:t>
      </w:r>
    </w:p>
    <w:p>
      <w:pPr>
        <w:pStyle w:val="RefEntry"/>
      </w:pPr>
      <w:r>
        <w:t xml:space="preserve">Abanin, D., De Roeck, W., Ho, W. W., &amp; Huveneers, F. (2017). A rigorous theory of many-body prethermalization for periodically driven and closed quantum systems.</w:t>
      </w:r>
      <w:r>
        <w:t xml:space="preserve"> </w:t>
      </w:r>
      <w:r>
        <w:rPr>
          <w:iCs/>
          <w:i/>
        </w:rPr>
        <w:t xml:space="preserve">Communications in Mathematical Physics</w:t>
      </w:r>
      <w:r>
        <w:t xml:space="preserve">,</w:t>
      </w:r>
      <w:r>
        <w:t xml:space="preserve"> </w:t>
      </w:r>
      <w:r>
        <w:rPr>
          <w:iCs/>
          <w:i/>
        </w:rPr>
        <w:t xml:space="preserve">354</w:t>
      </w:r>
      <w:r>
        <w:t xml:space="preserve">(3), 809–827. https://doi.org/10.1007/s00220-017-2930-x</w:t>
      </w:r>
    </w:p>
    <w:p>
      <w:pPr>
        <w:pStyle w:val="RefEntry"/>
      </w:pPr>
      <w:r>
        <w:t xml:space="preserve">Abanin, D. A., Altman, E., Bloch, I., &amp; Serbyn, M. (2019). Colloquium: Many-body localization, thermalization, and entanglement.</w:t>
      </w:r>
      <w:r>
        <w:t xml:space="preserve"> </w:t>
      </w:r>
      <w:r>
        <w:rPr>
          <w:iCs/>
          <w:i/>
        </w:rPr>
        <w:t xml:space="preserve">Reviews of Modern Physics</w:t>
      </w:r>
      <w:r>
        <w:t xml:space="preserve">,</w:t>
      </w:r>
      <w:r>
        <w:t xml:space="preserve"> </w:t>
      </w:r>
      <w:r>
        <w:rPr>
          <w:iCs/>
          <w:i/>
        </w:rPr>
        <w:t xml:space="preserve">91</w:t>
      </w:r>
      <w:r>
        <w:t xml:space="preserve">, 021001. https://doi.org/10.1103/RevModPhys.91.021001</w:t>
      </w:r>
    </w:p>
    <w:p>
      <w:pPr>
        <w:pStyle w:val="RefEntry"/>
      </w:pPr>
      <w:r>
        <w:t xml:space="preserve">Autti, S., Eltsov, V. B., &amp; Volovik, G. E. (2018). Observation of a time quasicrystal and its transition to a superfluid time crystal.</w:t>
      </w:r>
      <w:r>
        <w:t xml:space="preserve"> </w:t>
      </w:r>
      <w:r>
        <w:rPr>
          <w:iCs/>
          <w:i/>
        </w:rPr>
        <w:t xml:space="preserve">Physical Review Letters</w:t>
      </w:r>
      <w:r>
        <w:t xml:space="preserve">,</w:t>
      </w:r>
      <w:r>
        <w:t xml:space="preserve"> </w:t>
      </w:r>
      <w:r>
        <w:rPr>
          <w:iCs/>
          <w:i/>
        </w:rPr>
        <w:t xml:space="preserve">120</w:t>
      </w:r>
      <w:r>
        <w:t xml:space="preserve">, 215301. https://doi.org/10.1103/PhysRevLett.120.215301</w:t>
      </w:r>
    </w:p>
    <w:p>
      <w:pPr>
        <w:pStyle w:val="RefEntry"/>
      </w:pPr>
      <w:r>
        <w:t xml:space="preserve">Banerjee, T., Choudhury, S., &amp; Sengupta, K. (2025). Exact Floquet flat band and heating suppression via two-tone drive protocols.</w:t>
      </w:r>
      <w:r>
        <w:t xml:space="preserve"> </w:t>
      </w:r>
      <w:r>
        <w:rPr>
          <w:iCs/>
          <w:i/>
        </w:rPr>
        <w:t xml:space="preserve">New Journal of Physics</w:t>
      </w:r>
      <w:r>
        <w:t xml:space="preserve">,</w:t>
      </w:r>
      <w:r>
        <w:t xml:space="preserve"> </w:t>
      </w:r>
      <w:r>
        <w:rPr>
          <w:iCs/>
          <w:i/>
        </w:rPr>
        <w:t xml:space="preserve">27</w:t>
      </w:r>
      <w:r>
        <w:t xml:space="preserve">(8), 084506. https://doi.org/10.1088/1367-2630/adfd07</w:t>
      </w:r>
    </w:p>
    <w:p>
      <w:pPr>
        <w:pStyle w:val="RefEntry"/>
      </w:pPr>
      <w:r>
        <w:t xml:space="preserve">Basko, D., Aleiner, I., &amp; Altshuler, B. (2006). Metal–insulator transition in a weakly interacting many-electron system with localized single-particle states.</w:t>
      </w:r>
      <w:r>
        <w:t xml:space="preserve"> </w:t>
      </w:r>
      <w:r>
        <w:rPr>
          <w:iCs/>
          <w:i/>
        </w:rPr>
        <w:t xml:space="preserve">Annals of Physics</w:t>
      </w:r>
      <w:r>
        <w:t xml:space="preserve">,</w:t>
      </w:r>
      <w:r>
        <w:t xml:space="preserve"> </w:t>
      </w:r>
      <w:r>
        <w:rPr>
          <w:iCs/>
          <w:i/>
        </w:rPr>
        <w:t xml:space="preserve">321</w:t>
      </w:r>
      <w:r>
        <w:t xml:space="preserve">(5), 1126–1205. https://doi.org/10.1016/j.aop.2005.11.014</w:t>
      </w:r>
    </w:p>
    <w:p>
      <w:pPr>
        <w:pStyle w:val="RefEntry"/>
      </w:pPr>
      <w:r>
        <w:t xml:space="preserve">Bluvstein, D., Omran, A., Levine, H., Keesling, A., Semeghini, G., Ebadi, S., Wang, T. T., Michailidis, A. A., Maskara, N., Ho, W. W., Choi, S., Serbyn, M., Greiner, M., Vuletić, V., &amp; Lukin, M. D. (2021). Controlling quantum many-body dynamics in driven Rydberg atom arrays.</w:t>
      </w:r>
      <w:r>
        <w:t xml:space="preserve"> </w:t>
      </w:r>
      <w:r>
        <w:rPr>
          <w:iCs/>
          <w:i/>
        </w:rPr>
        <w:t xml:space="preserve">Science</w:t>
      </w:r>
      <w:r>
        <w:t xml:space="preserve">,</w:t>
      </w:r>
      <w:r>
        <w:t xml:space="preserve"> </w:t>
      </w:r>
      <w:r>
        <w:rPr>
          <w:iCs/>
          <w:i/>
        </w:rPr>
        <w:t xml:space="preserve">371</w:t>
      </w:r>
      <w:r>
        <w:t xml:space="preserve">(6536), 1355–1359. https://doi.org/10.1126/science.abg2530</w:t>
      </w:r>
    </w:p>
    <w:p>
      <w:pPr>
        <w:pStyle w:val="RefEntry"/>
      </w:pPr>
      <w:r>
        <w:t xml:space="preserve">Bruno, P. (2013). Impossibility of spontaneously rotating time crystals: A no-go theorem.</w:t>
      </w:r>
      <w:r>
        <w:t xml:space="preserve"> </w:t>
      </w:r>
      <w:r>
        <w:rPr>
          <w:iCs/>
          <w:i/>
        </w:rPr>
        <w:t xml:space="preserve">Physical Review Letters</w:t>
      </w:r>
      <w:r>
        <w:t xml:space="preserve">,</w:t>
      </w:r>
      <w:r>
        <w:t xml:space="preserve"> </w:t>
      </w:r>
      <w:r>
        <w:rPr>
          <w:iCs/>
          <w:i/>
        </w:rPr>
        <w:t xml:space="preserve">111</w:t>
      </w:r>
      <w:r>
        <w:t xml:space="preserve">, 070402. https://doi.org/10.1103/PhysRevLett.111.070402</w:t>
      </w:r>
    </w:p>
    <w:p>
      <w:pPr>
        <w:pStyle w:val="RefEntry"/>
      </w:pPr>
      <w:r>
        <w:t xml:space="preserve">Buča, B., Booker, C., &amp; Jaksch, D. (2022). Algebraic theory of quantum synchronization and limit cycles under dissipation.</w:t>
      </w:r>
      <w:r>
        <w:t xml:space="preserve"> </w:t>
      </w:r>
      <w:r>
        <w:rPr>
          <w:iCs/>
          <w:i/>
        </w:rPr>
        <w:t xml:space="preserve">SciPost Phys.</w:t>
      </w:r>
      <w:r>
        <w:t xml:space="preserve">,</w:t>
      </w:r>
      <w:r>
        <w:t xml:space="preserve"> </w:t>
      </w:r>
      <w:r>
        <w:rPr>
          <w:iCs/>
          <w:i/>
        </w:rPr>
        <w:t xml:space="preserve">12</w:t>
      </w:r>
      <w:r>
        <w:t xml:space="preserve">, 097. https://doi.org/10.21468/SciPostPhys.12.3.097</w:t>
      </w:r>
    </w:p>
    <w:p>
      <w:pPr>
        <w:pStyle w:val="RefEntry"/>
      </w:pPr>
      <w:r>
        <w:t xml:space="preserve">Buča, B., Tindall, J., &amp; Jaksch, D. (2019). Non-stationary coherent quantum many-body dynamics through dissipation.</w:t>
      </w:r>
      <w:r>
        <w:t xml:space="preserve"> </w:t>
      </w:r>
      <w:r>
        <w:rPr>
          <w:iCs/>
          <w:i/>
        </w:rPr>
        <w:t xml:space="preserve">Nature Communications</w:t>
      </w:r>
      <w:r>
        <w:t xml:space="preserve">,</w:t>
      </w:r>
      <w:r>
        <w:t xml:space="preserve"> </w:t>
      </w:r>
      <w:r>
        <w:rPr>
          <w:iCs/>
          <w:i/>
        </w:rPr>
        <w:t xml:space="preserve">10</w:t>
      </w:r>
      <w:r>
        <w:t xml:space="preserve">(1). https://doi.org/10.1038/s41467-019-09757-y</w:t>
      </w:r>
    </w:p>
    <w:p>
      <w:pPr>
        <w:pStyle w:val="RefEntry"/>
      </w:pPr>
      <w:r>
        <w:t xml:space="preserve">Camacho, G., &amp; Fauseweh, B. (2024). Prolonging a discrete time crystal by quantum-classical feedback.</w:t>
      </w:r>
      <w:r>
        <w:t xml:space="preserve"> </w:t>
      </w:r>
      <w:r>
        <w:rPr>
          <w:iCs/>
          <w:i/>
        </w:rPr>
        <w:t xml:space="preserve">Phys. Rev. Res.</w:t>
      </w:r>
      <w:r>
        <w:t xml:space="preserve">,</w:t>
      </w:r>
      <w:r>
        <w:t xml:space="preserve"> </w:t>
      </w:r>
      <w:r>
        <w:rPr>
          <w:iCs/>
          <w:i/>
        </w:rPr>
        <w:t xml:space="preserve">6</w:t>
      </w:r>
      <w:r>
        <w:t xml:space="preserve">, 033092. https://doi.org/10.1103/PhysRevResearch.6.033092</w:t>
      </w:r>
    </w:p>
    <w:p>
      <w:pPr>
        <w:pStyle w:val="RefEntry"/>
      </w:pPr>
      <w:r>
        <w:t xml:space="preserve">Chandra, R., &amp; Roy, A. (2024). Discrete time crystal phase of higher dimensional integrable models.</w:t>
      </w:r>
      <w:r>
        <w:t xml:space="preserve"> </w:t>
      </w:r>
      <w:r>
        <w:rPr>
          <w:iCs/>
          <w:i/>
        </w:rPr>
        <w:t xml:space="preserve">Physics Letters A</w:t>
      </w:r>
      <w:r>
        <w:t xml:space="preserve">,</w:t>
      </w:r>
      <w:r>
        <w:t xml:space="preserve"> </w:t>
      </w:r>
      <w:r>
        <w:rPr>
          <w:iCs/>
          <w:i/>
        </w:rPr>
        <w:t xml:space="preserve">511</w:t>
      </w:r>
      <w:r>
        <w:t xml:space="preserve">, 129552. https://doi.org/10.1016/j.physleta.2024.129552</w:t>
      </w:r>
    </w:p>
    <w:p>
      <w:pPr>
        <w:pStyle w:val="RefEntry"/>
      </w:pPr>
      <w:r>
        <w:t xml:space="preserve">Chinzei, K., &amp; Ikeda, T. N. (2020). Time crystals protected by Floquet dynamical symmetry in Hubbard models.</w:t>
      </w:r>
      <w:r>
        <w:t xml:space="preserve"> </w:t>
      </w:r>
      <w:r>
        <w:rPr>
          <w:iCs/>
          <w:i/>
        </w:rPr>
        <w:t xml:space="preserve">Physical Review Letters</w:t>
      </w:r>
      <w:r>
        <w:t xml:space="preserve">,</w:t>
      </w:r>
      <w:r>
        <w:t xml:space="preserve"> </w:t>
      </w:r>
      <w:r>
        <w:rPr>
          <w:iCs/>
          <w:i/>
        </w:rPr>
        <w:t xml:space="preserve">125</w:t>
      </w:r>
      <w:r>
        <w:t xml:space="preserve">, 060601. https://doi.org/10.1103/PhysRevLett.125.060601</w:t>
      </w:r>
    </w:p>
    <w:p>
      <w:pPr>
        <w:pStyle w:val="RefEntry"/>
      </w:pPr>
      <w:r>
        <w:t xml:space="preserve">Choi, S., Choi, J., Landig, R., Kucsko, G., Zhou, H., Isoya, J., Jelezko, F., Onoda, S., Sumiya, H., Khemani, V., von Keyserlingk, C., Yao, N. Y., Demler, E., &amp; Lukin, M. D. (2017). Observation of discrete time-crystalline order in a disordered dipolar many-body system.</w:t>
      </w:r>
      <w:r>
        <w:t xml:space="preserve"> </w:t>
      </w:r>
      <w:r>
        <w:rPr>
          <w:iCs/>
          <w:i/>
        </w:rPr>
        <w:t xml:space="preserve">Nature</w:t>
      </w:r>
      <w:r>
        <w:t xml:space="preserve">,</w:t>
      </w:r>
      <w:r>
        <w:t xml:space="preserve"> </w:t>
      </w:r>
      <w:r>
        <w:rPr>
          <w:iCs/>
          <w:i/>
        </w:rPr>
        <w:t xml:space="preserve">543</w:t>
      </w:r>
      <w:r>
        <w:t xml:space="preserve">(7644), 221–225. https://doi.org/10.1038/nature21426</w:t>
      </w:r>
    </w:p>
    <w:p>
      <w:pPr>
        <w:pStyle w:val="RefEntry"/>
      </w:pPr>
      <w:r>
        <w:t xml:space="preserve">D’Alessio, L., Kafri, Y., Polkovnikov, A., &amp; Rigol, M. (2016). From quantum chaos and eigenstate thermalization to statistical mechanics and thermodynamics.</w:t>
      </w:r>
      <w:r>
        <w:t xml:space="preserve"> </w:t>
      </w:r>
      <w:r>
        <w:rPr>
          <w:iCs/>
          <w:i/>
        </w:rPr>
        <w:t xml:space="preserve">Advances in Physics</w:t>
      </w:r>
      <w:r>
        <w:t xml:space="preserve">,</w:t>
      </w:r>
      <w:r>
        <w:t xml:space="preserve"> </w:t>
      </w:r>
      <w:r>
        <w:rPr>
          <w:iCs/>
          <w:i/>
        </w:rPr>
        <w:t xml:space="preserve">65</w:t>
      </w:r>
      <w:r>
        <w:t xml:space="preserve">(3), 239–362. https://doi.org/10.1080/00018732.2016.1198134</w:t>
      </w:r>
    </w:p>
    <w:p>
      <w:pPr>
        <w:pStyle w:val="RefEntry"/>
      </w:pPr>
      <w:r>
        <w:t xml:space="preserve">D’Alessio, L., &amp; Rigol, M. (2014). Long-time behavior of isolated periodically driven interacting lattice systems.</w:t>
      </w:r>
      <w:r>
        <w:t xml:space="preserve"> </w:t>
      </w:r>
      <w:r>
        <w:rPr>
          <w:iCs/>
          <w:i/>
        </w:rPr>
        <w:t xml:space="preserve">Physical Review X</w:t>
      </w:r>
      <w:r>
        <w:t xml:space="preserve">,</w:t>
      </w:r>
      <w:r>
        <w:t xml:space="preserve"> </w:t>
      </w:r>
      <w:r>
        <w:rPr>
          <w:iCs/>
          <w:i/>
        </w:rPr>
        <w:t xml:space="preserve">4</w:t>
      </w:r>
      <w:r>
        <w:t xml:space="preserve">, 041048. https://doi.org/10.1103/PhysRevX.4.041048</w:t>
      </w:r>
    </w:p>
    <w:p>
      <w:pPr>
        <w:pStyle w:val="RefEntry"/>
      </w:pPr>
      <w:r>
        <w:t xml:space="preserve">De Roeck, W., &amp; Huveneers, F. (2017). Stability and instability towards delocalization in many-body localization systems.</w:t>
      </w:r>
      <w:r>
        <w:t xml:space="preserve"> </w:t>
      </w:r>
      <w:r>
        <w:rPr>
          <w:iCs/>
          <w:i/>
        </w:rPr>
        <w:t xml:space="preserve">Physical Review B</w:t>
      </w:r>
      <w:r>
        <w:t xml:space="preserve">,</w:t>
      </w:r>
      <w:r>
        <w:t xml:space="preserve"> </w:t>
      </w:r>
      <w:r>
        <w:rPr>
          <w:iCs/>
          <w:i/>
        </w:rPr>
        <w:t xml:space="preserve">95</w:t>
      </w:r>
      <w:r>
        <w:t xml:space="preserve">, 155129. https://doi.org/10.1103/PhysRevB.95.155129</w:t>
      </w:r>
    </w:p>
    <w:p>
      <w:pPr>
        <w:pStyle w:val="RefEntry"/>
      </w:pPr>
      <w:r>
        <w:t xml:space="preserve">Deutsch, J. M. (1991). Quantum statistical mechanics in a closed system.</w:t>
      </w:r>
      <w:r>
        <w:t xml:space="preserve"> </w:t>
      </w:r>
      <w:r>
        <w:rPr>
          <w:iCs/>
          <w:i/>
        </w:rPr>
        <w:t xml:space="preserve">Physical Review A</w:t>
      </w:r>
      <w:r>
        <w:t xml:space="preserve">,</w:t>
      </w:r>
      <w:r>
        <w:t xml:space="preserve"> </w:t>
      </w:r>
      <w:r>
        <w:rPr>
          <w:iCs/>
          <w:i/>
        </w:rPr>
        <w:t xml:space="preserve">43</w:t>
      </w:r>
      <w:r>
        <w:t xml:space="preserve">(4), 2046–2049. https://doi.org/10.1103/PhysRevA.43.2046</w:t>
      </w:r>
    </w:p>
    <w:p>
      <w:pPr>
        <w:pStyle w:val="RefEntry"/>
      </w:pPr>
      <w:r>
        <w:t xml:space="preserve">Else, D. V., Bauer, B., &amp; Nayak, C. (2016). Floquet time crystals.</w:t>
      </w:r>
      <w:r>
        <w:t xml:space="preserve"> </w:t>
      </w:r>
      <w:r>
        <w:rPr>
          <w:iCs/>
          <w:i/>
        </w:rPr>
        <w:t xml:space="preserve">Physical Review Letters</w:t>
      </w:r>
      <w:r>
        <w:t xml:space="preserve">,</w:t>
      </w:r>
      <w:r>
        <w:t xml:space="preserve"> </w:t>
      </w:r>
      <w:r>
        <w:rPr>
          <w:iCs/>
          <w:i/>
        </w:rPr>
        <w:t xml:space="preserve">117</w:t>
      </w:r>
      <w:r>
        <w:t xml:space="preserve">, 090402. https://doi.org/10.1103/PhysRevLett.117.090402</w:t>
      </w:r>
    </w:p>
    <w:p>
      <w:pPr>
        <w:pStyle w:val="RefEntry"/>
      </w:pPr>
      <w:r>
        <w:t xml:space="preserve">Else, D. V., Bauer, B., &amp; Nayak, C. (2017). Prethermal phases of matter protected by time-translation symmetry.</w:t>
      </w:r>
      <w:r>
        <w:t xml:space="preserve"> </w:t>
      </w:r>
      <w:r>
        <w:rPr>
          <w:iCs/>
          <w:i/>
        </w:rPr>
        <w:t xml:space="preserve">Physical Review X</w:t>
      </w:r>
      <w:r>
        <w:t xml:space="preserve">,</w:t>
      </w:r>
      <w:r>
        <w:t xml:space="preserve"> </w:t>
      </w:r>
      <w:r>
        <w:rPr>
          <w:iCs/>
          <w:i/>
        </w:rPr>
        <w:t xml:space="preserve">7</w:t>
      </w:r>
      <w:r>
        <w:t xml:space="preserve">, 011026. https://doi.org/10.1103/PhysRevX.7.011026</w:t>
      </w:r>
    </w:p>
    <w:p>
      <w:pPr>
        <w:pStyle w:val="RefEntry"/>
      </w:pPr>
      <w:r>
        <w:t xml:space="preserve">Else, D. V., Monroe, C., Nayak, C., &amp; Yao, N. Y. (2020). Discrete time crystals.</w:t>
      </w:r>
      <w:r>
        <w:t xml:space="preserve"> </w:t>
      </w:r>
      <w:r>
        <w:rPr>
          <w:iCs/>
          <w:i/>
        </w:rPr>
        <w:t xml:space="preserve">Annual Review of Condensed Matter Physics</w:t>
      </w:r>
      <w:r>
        <w:t xml:space="preserve">,</w:t>
      </w:r>
      <w:r>
        <w:t xml:space="preserve"> </w:t>
      </w:r>
      <w:r>
        <w:rPr>
          <w:iCs/>
          <w:i/>
        </w:rPr>
        <w:t xml:space="preserve">11</w:t>
      </w:r>
      <w:r>
        <w:t xml:space="preserve">, 467–499. https://doi.org/10.1146/annurev-conmatphys-031119-050658</w:t>
      </w:r>
    </w:p>
    <w:p>
      <w:pPr>
        <w:pStyle w:val="RefEntry"/>
      </w:pPr>
      <w:r>
        <w:t xml:space="preserve">Essler, F. H. L., &amp; Fagotti, M. (2016). Quench dynamics and relaxation in isolated integrable quantum spin chains.</w:t>
      </w:r>
      <w:r>
        <w:t xml:space="preserve"> </w:t>
      </w:r>
      <w:r>
        <w:rPr>
          <w:iCs/>
          <w:i/>
        </w:rPr>
        <w:t xml:space="preserve">Journal of Statistical Mechanics: Theory and Experiment</w:t>
      </w:r>
      <w:r>
        <w:t xml:space="preserve">,</w:t>
      </w:r>
      <w:r>
        <w:t xml:space="preserve"> </w:t>
      </w:r>
      <w:r>
        <w:rPr>
          <w:iCs/>
          <w:i/>
        </w:rPr>
        <w:t xml:space="preserve">2016</w:t>
      </w:r>
      <w:r>
        <w:t xml:space="preserve">(6), 064002. https://doi.org/10.1088/1742-5468/2016/06/064002</w:t>
      </w:r>
    </w:p>
    <w:p>
      <w:pPr>
        <w:pStyle w:val="RefEntry"/>
      </w:pPr>
      <w:r>
        <w:t xml:space="preserve">Fendley, P. (2016). Strong zero modes and eigenstate phase transitions in the XYZ/interacting Majorana chain.</w:t>
      </w:r>
      <w:r>
        <w:t xml:space="preserve"> </w:t>
      </w:r>
      <w:r>
        <w:rPr>
          <w:iCs/>
          <w:i/>
        </w:rPr>
        <w:t xml:space="preserve">Journal of Physics A: Mathematical and Theoretical</w:t>
      </w:r>
      <w:r>
        <w:t xml:space="preserve">,</w:t>
      </w:r>
      <w:r>
        <w:t xml:space="preserve"> </w:t>
      </w:r>
      <w:r>
        <w:rPr>
          <w:iCs/>
          <w:i/>
        </w:rPr>
        <w:t xml:space="preserve">49</w:t>
      </w:r>
      <w:r>
        <w:t xml:space="preserve">(30), 30LT01. https://doi.org/10.1088/1751-8113/49/30/30lt01</w:t>
      </w:r>
    </w:p>
    <w:p>
      <w:pPr>
        <w:pStyle w:val="RefEntry"/>
      </w:pPr>
      <w:r>
        <w:t xml:space="preserve">Frey, P., &amp; Rachel, S. (2022). Realization of a discrete time crystal on 57 qubits of a quantum computer.</w:t>
      </w:r>
      <w:r>
        <w:t xml:space="preserve"> </w:t>
      </w:r>
      <w:r>
        <w:rPr>
          <w:iCs/>
          <w:i/>
        </w:rPr>
        <w:t xml:space="preserve">Science Advances</w:t>
      </w:r>
      <w:r>
        <w:t xml:space="preserve">,</w:t>
      </w:r>
      <w:r>
        <w:t xml:space="preserve"> </w:t>
      </w:r>
      <w:r>
        <w:rPr>
          <w:iCs/>
          <w:i/>
        </w:rPr>
        <w:t xml:space="preserve">8</w:t>
      </w:r>
      <w:r>
        <w:t xml:space="preserve">, eabm7652. https://doi.org/10.1126/sciadv.abm7652</w:t>
      </w:r>
    </w:p>
    <w:p>
      <w:pPr>
        <w:pStyle w:val="RefEntry"/>
      </w:pPr>
      <w:r>
        <w:t xml:space="preserve">Gambetta, F. M., Carollo, F., Marcuzzi, M., Garrahan, J. P., &amp; Lesanovsky, I. (2019). Discrete time crystals in the absence of manifest symmetries or disorder in open quantum systems.</w:t>
      </w:r>
      <w:r>
        <w:t xml:space="preserve"> </w:t>
      </w:r>
      <w:r>
        <w:rPr>
          <w:iCs/>
          <w:i/>
        </w:rPr>
        <w:t xml:space="preserve">Physical Review Letters</w:t>
      </w:r>
      <w:r>
        <w:t xml:space="preserve">,</w:t>
      </w:r>
      <w:r>
        <w:t xml:space="preserve"> </w:t>
      </w:r>
      <w:r>
        <w:rPr>
          <w:iCs/>
          <w:i/>
        </w:rPr>
        <w:t xml:space="preserve">122</w:t>
      </w:r>
      <w:r>
        <w:t xml:space="preserve">, 015701. https://doi.org/10.1103/PhysRevLett.122.015701</w:t>
      </w:r>
    </w:p>
    <w:p>
      <w:pPr>
        <w:pStyle w:val="RefEntry"/>
      </w:pPr>
      <w:r>
        <w:t xml:space="preserve">Huse, D. A., Nandkishore, R., &amp; Oganesyan, V. (2014). Phenomenology of fully many-body-localized systems.</w:t>
      </w:r>
      <w:r>
        <w:t xml:space="preserve"> </w:t>
      </w:r>
      <w:r>
        <w:rPr>
          <w:iCs/>
          <w:i/>
        </w:rPr>
        <w:t xml:space="preserve">Physical Review B</w:t>
      </w:r>
      <w:r>
        <w:t xml:space="preserve">,</w:t>
      </w:r>
      <w:r>
        <w:t xml:space="preserve"> </w:t>
      </w:r>
      <w:r>
        <w:rPr>
          <w:iCs/>
          <w:i/>
        </w:rPr>
        <w:t xml:space="preserve">90</w:t>
      </w:r>
      <w:r>
        <w:t xml:space="preserve">, 174202. https://doi.org/10.1103/PhysRevB.90.174202</w:t>
      </w:r>
    </w:p>
    <w:p>
      <w:pPr>
        <w:pStyle w:val="RefEntry"/>
      </w:pPr>
      <w:r>
        <w:t xml:space="preserve">Iemini, F., Russomanno, A., Keeling, J., Schirò, M., Dalmonte, M., &amp; Fazio, R. (2018). Boundary time crystals.</w:t>
      </w:r>
      <w:r>
        <w:t xml:space="preserve"> </w:t>
      </w:r>
      <w:r>
        <w:rPr>
          <w:iCs/>
          <w:i/>
        </w:rPr>
        <w:t xml:space="preserve">Physical Review Letters</w:t>
      </w:r>
      <w:r>
        <w:t xml:space="preserve">,</w:t>
      </w:r>
      <w:r>
        <w:t xml:space="preserve"> </w:t>
      </w:r>
      <w:r>
        <w:rPr>
          <w:iCs/>
          <w:i/>
        </w:rPr>
        <w:t xml:space="preserve">121</w:t>
      </w:r>
      <w:r>
        <w:t xml:space="preserve">, 035301. https://doi.org/10.1103/PhysRevLett.121.035301</w:t>
      </w:r>
    </w:p>
    <w:p>
      <w:pPr>
        <w:pStyle w:val="RefEntry"/>
      </w:pPr>
      <w:r>
        <w:t xml:space="preserve">Ilievski, E., De Nardis, J., Wouters, B., Caux, J.-S., Essler, F. H. L., &amp; Prosen, T. (2015). Complete generalized Gibbs ensembles in an interacting theory.</w:t>
      </w:r>
      <w:r>
        <w:t xml:space="preserve"> </w:t>
      </w:r>
      <w:r>
        <w:rPr>
          <w:iCs/>
          <w:i/>
        </w:rPr>
        <w:t xml:space="preserve">Physical Review Letters</w:t>
      </w:r>
      <w:r>
        <w:t xml:space="preserve">,</w:t>
      </w:r>
      <w:r>
        <w:t xml:space="preserve"> </w:t>
      </w:r>
      <w:r>
        <w:rPr>
          <w:iCs/>
          <w:i/>
        </w:rPr>
        <w:t xml:space="preserve">115</w:t>
      </w:r>
      <w:r>
        <w:t xml:space="preserve">, 157201. https://doi.org/10.1103/PhysRevLett.115.157201</w:t>
      </w:r>
    </w:p>
    <w:p>
      <w:pPr>
        <w:pStyle w:val="RefEntry"/>
      </w:pPr>
      <w:r>
        <w:t xml:space="preserve">Ilievski, E., Medenjak, M., Prosen, T., &amp; Zadnik, L. (2016). Quasilocal charges in integrable lattice systems.</w:t>
      </w:r>
      <w:r>
        <w:t xml:space="preserve"> </w:t>
      </w:r>
      <w:r>
        <w:rPr>
          <w:iCs/>
          <w:i/>
        </w:rPr>
        <w:t xml:space="preserve">Journal of Statistical Mechanics: Theory and Experiment</w:t>
      </w:r>
      <w:r>
        <w:t xml:space="preserve">,</w:t>
      </w:r>
      <w:r>
        <w:t xml:space="preserve"> </w:t>
      </w:r>
      <w:r>
        <w:rPr>
          <w:iCs/>
          <w:i/>
        </w:rPr>
        <w:t xml:space="preserve">2016</w:t>
      </w:r>
      <w:r>
        <w:t xml:space="preserve">(6), 064008. https://doi.org/10.1088/1742-5468/2016/06/064008</w:t>
      </w:r>
    </w:p>
    <w:p>
      <w:pPr>
        <w:pStyle w:val="RefEntry"/>
      </w:pPr>
      <w:r>
        <w:t xml:space="preserve">Imbrie, J. Z. (2016). On many-body localization for quantum spin chains.</w:t>
      </w:r>
      <w:r>
        <w:t xml:space="preserve"> </w:t>
      </w:r>
      <w:r>
        <w:rPr>
          <w:iCs/>
          <w:i/>
        </w:rPr>
        <w:t xml:space="preserve">Journal of Statistical Physics</w:t>
      </w:r>
      <w:r>
        <w:t xml:space="preserve">,</w:t>
      </w:r>
      <w:r>
        <w:t xml:space="preserve"> </w:t>
      </w:r>
      <w:r>
        <w:rPr>
          <w:iCs/>
          <w:i/>
        </w:rPr>
        <w:t xml:space="preserve">163</w:t>
      </w:r>
      <w:r>
        <w:t xml:space="preserve">(5), 998–1048. https://doi.org/10.1007/s10955-016-1508-x</w:t>
      </w:r>
    </w:p>
    <w:p>
      <w:pPr>
        <w:pStyle w:val="RefEntry"/>
      </w:pPr>
      <w:r>
        <w:t xml:space="preserve">Jepsen, P. N., Lee, Y. K., Lin, H., Dimitrova, I., Margalit, Y., Ho, W. W., &amp; Ketterle, W. (2022). Long-lived phantom helix states in Heisenberg quantum magnets.</w:t>
      </w:r>
      <w:r>
        <w:t xml:space="preserve"> </w:t>
      </w:r>
      <w:r>
        <w:rPr>
          <w:iCs/>
          <w:i/>
        </w:rPr>
        <w:t xml:space="preserve">Nature Phys.</w:t>
      </w:r>
      <w:r>
        <w:t xml:space="preserve">,</w:t>
      </w:r>
      <w:r>
        <w:t xml:space="preserve"> </w:t>
      </w:r>
      <w:r>
        <w:rPr>
          <w:iCs/>
          <w:i/>
        </w:rPr>
        <w:t xml:space="preserve">18</w:t>
      </w:r>
      <w:r>
        <w:t xml:space="preserve">(8), 899–904. https://doi.org/10.1038/s41567-022-01651-7</w:t>
      </w:r>
    </w:p>
    <w:p>
      <w:pPr>
        <w:pStyle w:val="RefEntry"/>
      </w:pPr>
      <w:r>
        <w:t xml:space="preserve">Kemp, J., Yao, N. Y., Laumann, C. R., &amp; Fendley, P. (2017). Long coherence times for edge spins.</w:t>
      </w:r>
      <w:r>
        <w:t xml:space="preserve"> </w:t>
      </w:r>
      <w:r>
        <w:rPr>
          <w:iCs/>
          <w:i/>
        </w:rPr>
        <w:t xml:space="preserve">Journal of Statistical Mechanics: Theory and Experiment</w:t>
      </w:r>
      <w:r>
        <w:t xml:space="preserve">,</w:t>
      </w:r>
      <w:r>
        <w:t xml:space="preserve"> </w:t>
      </w:r>
      <w:r>
        <w:rPr>
          <w:iCs/>
          <w:i/>
        </w:rPr>
        <w:t xml:space="preserve">2017</w:t>
      </w:r>
      <w:r>
        <w:t xml:space="preserve">(6), 063105. https://doi.org/10.1088/1742-5468/aa73f0</w:t>
      </w:r>
    </w:p>
    <w:p>
      <w:pPr>
        <w:pStyle w:val="RefEntry"/>
      </w:pPr>
      <w:r>
        <w:t xml:space="preserve">Keßler, H., Kongkhambut, P., Georges, C., Mathey, L., Cosme, J. G., &amp; Hemmerich, A. (2021). Observation of a dissipative time crystal.</w:t>
      </w:r>
      <w:r>
        <w:t xml:space="preserve"> </w:t>
      </w:r>
      <w:r>
        <w:rPr>
          <w:iCs/>
          <w:i/>
        </w:rPr>
        <w:t xml:space="preserve">Phys. Rev. Lett.</w:t>
      </w:r>
      <w:r>
        <w:t xml:space="preserve">,</w:t>
      </w:r>
      <w:r>
        <w:t xml:space="preserve"> </w:t>
      </w:r>
      <w:r>
        <w:rPr>
          <w:iCs/>
          <w:i/>
        </w:rPr>
        <w:t xml:space="preserve">127</w:t>
      </w:r>
      <w:r>
        <w:t xml:space="preserve">, 043602. https://doi.org/10.1103/PhysRevLett.127.043602</w:t>
      </w:r>
    </w:p>
    <w:p>
      <w:pPr>
        <w:pStyle w:val="RefEntry"/>
      </w:pPr>
      <w:r>
        <w:t xml:space="preserve">Khemani, V., Lazarides, A., Moessner, R., &amp; Sondhi, S. L. (2016). Phase structure of driven quantum systems.</w:t>
      </w:r>
      <w:r>
        <w:t xml:space="preserve"> </w:t>
      </w:r>
      <w:r>
        <w:rPr>
          <w:iCs/>
          <w:i/>
        </w:rPr>
        <w:t xml:space="preserve">Physical Review Letters</w:t>
      </w:r>
      <w:r>
        <w:t xml:space="preserve">,</w:t>
      </w:r>
      <w:r>
        <w:t xml:space="preserve"> </w:t>
      </w:r>
      <w:r>
        <w:rPr>
          <w:iCs/>
          <w:i/>
        </w:rPr>
        <w:t xml:space="preserve">116</w:t>
      </w:r>
      <w:r>
        <w:t xml:space="preserve">, 250401. https://doi.org/10.1103/PhysRevLett.116.250401</w:t>
      </w:r>
    </w:p>
    <w:p>
      <w:pPr>
        <w:pStyle w:val="RefEntry"/>
      </w:pPr>
      <w:r>
        <w:t xml:space="preserve">Khemani, V., Moessner, R., &amp; Sondhi, S. L. (2019).</w:t>
      </w:r>
      <w:r>
        <w:t xml:space="preserve"> </w:t>
      </w:r>
      <w:r>
        <w:rPr>
          <w:iCs/>
          <w:i/>
        </w:rPr>
        <w:t xml:space="preserve">A brief history of time crystals</w:t>
      </w:r>
      <w:r>
        <w:t xml:space="preserve"> </w:t>
      </w:r>
      <w:r>
        <w:t xml:space="preserve">(arXiv:1910.10745). arXiv. https://doi.org/10.48550/arXiv.1910.10745</w:t>
      </w:r>
    </w:p>
    <w:p>
      <w:pPr>
        <w:pStyle w:val="RefEntry"/>
      </w:pPr>
      <w:r>
        <w:t xml:space="preserve">Khemani, V., von Keyserlingk, C. W., &amp; Sondhi, S. L. (2017). Defining time crystals via representation theory.</w:t>
      </w:r>
      <w:r>
        <w:t xml:space="preserve"> </w:t>
      </w:r>
      <w:r>
        <w:rPr>
          <w:iCs/>
          <w:i/>
        </w:rPr>
        <w:t xml:space="preserve">Physical Review B</w:t>
      </w:r>
      <w:r>
        <w:t xml:space="preserve">,</w:t>
      </w:r>
      <w:r>
        <w:t xml:space="preserve"> </w:t>
      </w:r>
      <w:r>
        <w:rPr>
          <w:iCs/>
          <w:i/>
        </w:rPr>
        <w:t xml:space="preserve">96</w:t>
      </w:r>
      <w:r>
        <w:t xml:space="preserve">, 115127. https://doi.org/10.1103/PhysRevB.96.115127</w:t>
      </w:r>
    </w:p>
    <w:p>
      <w:pPr>
        <w:pStyle w:val="RefEntry"/>
      </w:pPr>
      <w:r>
        <w:t xml:space="preserve">Kinoshita, T., Wenger, T., &amp; Weiss, D. S. (2006). A quantum Newton’s cradle.</w:t>
      </w:r>
      <w:r>
        <w:t xml:space="preserve"> </w:t>
      </w:r>
      <w:r>
        <w:rPr>
          <w:iCs/>
          <w:i/>
        </w:rPr>
        <w:t xml:space="preserve">Nature</w:t>
      </w:r>
      <w:r>
        <w:t xml:space="preserve">,</w:t>
      </w:r>
      <w:r>
        <w:t xml:space="preserve"> </w:t>
      </w:r>
      <w:r>
        <w:rPr>
          <w:iCs/>
          <w:i/>
        </w:rPr>
        <w:t xml:space="preserve">440</w:t>
      </w:r>
      <w:r>
        <w:t xml:space="preserve">(7086), 900–903. https://doi.org/10.1038/nature04693</w:t>
      </w:r>
    </w:p>
    <w:p>
      <w:pPr>
        <w:pStyle w:val="RefEntry"/>
      </w:pPr>
      <w:r>
        <w:t xml:space="preserve">Kongkhambut, P., Skulte, J., Mathey, L., Cosme, J. G., Hemmerich, A., &amp; Keßler, H. (2022). Observation of a continuous time crystal.</w:t>
      </w:r>
      <w:r>
        <w:t xml:space="preserve"> </w:t>
      </w:r>
      <w:r>
        <w:rPr>
          <w:iCs/>
          <w:i/>
        </w:rPr>
        <w:t xml:space="preserve">Science</w:t>
      </w:r>
      <w:r>
        <w:t xml:space="preserve">,</w:t>
      </w:r>
      <w:r>
        <w:t xml:space="preserve"> </w:t>
      </w:r>
      <w:r>
        <w:rPr>
          <w:iCs/>
          <w:i/>
        </w:rPr>
        <w:t xml:space="preserve">377</w:t>
      </w:r>
      <w:r>
        <w:t xml:space="preserve">(6606), 670–673. https://doi.org/10.1126/science.abo3382</w:t>
      </w:r>
    </w:p>
    <w:p>
      <w:pPr>
        <w:pStyle w:val="RefEntry"/>
      </w:pPr>
      <w:r>
        <w:t xml:space="preserve">Kuwahara, T., Mori, T., &amp; Saito, K. (2016). Floquet–Magnus theory and generic transient dynamics in periodically driven many-body quantum systems.</w:t>
      </w:r>
      <w:r>
        <w:t xml:space="preserve"> </w:t>
      </w:r>
      <w:r>
        <w:rPr>
          <w:iCs/>
          <w:i/>
        </w:rPr>
        <w:t xml:space="preserve">Annals of Physics</w:t>
      </w:r>
      <w:r>
        <w:t xml:space="preserve">,</w:t>
      </w:r>
      <w:r>
        <w:t xml:space="preserve"> </w:t>
      </w:r>
      <w:r>
        <w:rPr>
          <w:iCs/>
          <w:i/>
        </w:rPr>
        <w:t xml:space="preserve">367</w:t>
      </w:r>
      <w:r>
        <w:t xml:space="preserve">, 96–124. https://doi.org/10.1016/j.aop.2016.01.012</w:t>
      </w:r>
    </w:p>
    <w:p>
      <w:pPr>
        <w:pStyle w:val="RefEntry"/>
      </w:pPr>
      <w:r>
        <w:t xml:space="preserve">Kyprianidis, A., Machado, F., Morong, W., Becker, P., Collins, K. S., Else, D. V., Feng, L., Hess, P. W., Nayak, C., Pagano, G., Yao, N. Y., &amp; Monroe, C. (2021). Observation of a prethermal discrete time crystal.</w:t>
      </w:r>
      <w:r>
        <w:t xml:space="preserve"> </w:t>
      </w:r>
      <w:r>
        <w:rPr>
          <w:iCs/>
          <w:i/>
        </w:rPr>
        <w:t xml:space="preserve">Science</w:t>
      </w:r>
      <w:r>
        <w:t xml:space="preserve">,</w:t>
      </w:r>
      <w:r>
        <w:t xml:space="preserve"> </w:t>
      </w:r>
      <w:r>
        <w:rPr>
          <w:iCs/>
          <w:i/>
        </w:rPr>
        <w:t xml:space="preserve">372</w:t>
      </w:r>
      <w:r>
        <w:t xml:space="preserve">(6547), 1192–1196. https://doi.org/10.1126/science.abg8102</w:t>
      </w:r>
    </w:p>
    <w:p>
      <w:pPr>
        <w:pStyle w:val="RefEntry"/>
      </w:pPr>
      <w:r>
        <w:t xml:space="preserve">Lazarides, A., Das, A., &amp; Moessner, R. (2014a). Equilibrium states of generic quantum systems subject to periodic driving.</w:t>
      </w:r>
      <w:r>
        <w:t xml:space="preserve"> </w:t>
      </w:r>
      <w:r>
        <w:rPr>
          <w:iCs/>
          <w:i/>
        </w:rPr>
        <w:t xml:space="preserve">Physical Review E</w:t>
      </w:r>
      <w:r>
        <w:t xml:space="preserve">,</w:t>
      </w:r>
      <w:r>
        <w:t xml:space="preserve"> </w:t>
      </w:r>
      <w:r>
        <w:rPr>
          <w:iCs/>
          <w:i/>
        </w:rPr>
        <w:t xml:space="preserve">90</w:t>
      </w:r>
      <w:r>
        <w:t xml:space="preserve">, 012110. https://doi.org/10.1103/PhysRevE.90.012110</w:t>
      </w:r>
    </w:p>
    <w:p>
      <w:pPr>
        <w:pStyle w:val="RefEntry"/>
      </w:pPr>
      <w:r>
        <w:t xml:space="preserve">Lazarides, A., Das, A., &amp; Moessner, R. (2014b). Periodic thermodynamics of isolated quantum systems.</w:t>
      </w:r>
      <w:r>
        <w:t xml:space="preserve"> </w:t>
      </w:r>
      <w:r>
        <w:rPr>
          <w:iCs/>
          <w:i/>
        </w:rPr>
        <w:t xml:space="preserve">Physical Review Letters</w:t>
      </w:r>
      <w:r>
        <w:t xml:space="preserve">,</w:t>
      </w:r>
      <w:r>
        <w:t xml:space="preserve"> </w:t>
      </w:r>
      <w:r>
        <w:rPr>
          <w:iCs/>
          <w:i/>
        </w:rPr>
        <w:t xml:space="preserve">112</w:t>
      </w:r>
      <w:r>
        <w:t xml:space="preserve">, 150401. https://doi.org/10.1103/PhysRevLett.112.150401</w:t>
      </w:r>
    </w:p>
    <w:p>
      <w:pPr>
        <w:pStyle w:val="RefEntry"/>
      </w:pPr>
      <w:r>
        <w:t xml:space="preserve">Lazarides, A., Das, A., &amp; Moessner, R. (2015). Fate of many-body localization under periodic driving.</w:t>
      </w:r>
      <w:r>
        <w:t xml:space="preserve"> </w:t>
      </w:r>
      <w:r>
        <w:rPr>
          <w:iCs/>
          <w:i/>
        </w:rPr>
        <w:t xml:space="preserve">Physical Review Letters</w:t>
      </w:r>
      <w:r>
        <w:t xml:space="preserve">,</w:t>
      </w:r>
      <w:r>
        <w:t xml:space="preserve"> </w:t>
      </w:r>
      <w:r>
        <w:rPr>
          <w:iCs/>
          <w:i/>
        </w:rPr>
        <w:t xml:space="preserve">115</w:t>
      </w:r>
      <w:r>
        <w:t xml:space="preserve">, 030402. https://doi.org/10.1103/PhysRevLett.115.030402</w:t>
      </w:r>
    </w:p>
    <w:p>
      <w:pPr>
        <w:pStyle w:val="RefEntry"/>
      </w:pPr>
      <w:r>
        <w:t xml:space="preserve">Lieb, E. H., Schultz, T. D., &amp; Mattis, D. C. (1961). Two soluble models of an antiferromagnetic chain.</w:t>
      </w:r>
      <w:r>
        <w:t xml:space="preserve"> </w:t>
      </w:r>
      <w:r>
        <w:rPr>
          <w:iCs/>
          <w:i/>
        </w:rPr>
        <w:t xml:space="preserve">Annals of Physics</w:t>
      </w:r>
      <w:r>
        <w:t xml:space="preserve">,</w:t>
      </w:r>
      <w:r>
        <w:t xml:space="preserve"> </w:t>
      </w:r>
      <w:r>
        <w:rPr>
          <w:iCs/>
          <w:i/>
        </w:rPr>
        <w:t xml:space="preserve">16</w:t>
      </w:r>
      <w:r>
        <w:t xml:space="preserve">(3), 407–466. https://doi.org/10.1016/0003-4916(61)90115-4</w:t>
      </w:r>
    </w:p>
    <w:p>
      <w:pPr>
        <w:pStyle w:val="RefEntry"/>
      </w:pPr>
      <w:r>
        <w:t xml:space="preserve">Mazur, P. (1969). Non-ergodicity of phase functions in certain systems.</w:t>
      </w:r>
      <w:r>
        <w:t xml:space="preserve"> </w:t>
      </w:r>
      <w:r>
        <w:rPr>
          <w:iCs/>
          <w:i/>
        </w:rPr>
        <w:t xml:space="preserve">Physica</w:t>
      </w:r>
      <w:r>
        <w:t xml:space="preserve">,</w:t>
      </w:r>
      <w:r>
        <w:t xml:space="preserve"> </w:t>
      </w:r>
      <w:r>
        <w:rPr>
          <w:iCs/>
          <w:i/>
        </w:rPr>
        <w:t xml:space="preserve">43</w:t>
      </w:r>
      <w:r>
        <w:t xml:space="preserve">(4), 533–545. https://doi.org/10.1016/0031-8914(69)90185-2</w:t>
      </w:r>
    </w:p>
    <w:p>
      <w:pPr>
        <w:pStyle w:val="RefEntry"/>
      </w:pPr>
      <w:r>
        <w:t xml:space="preserve">Medenjak, M., Buča, B., &amp; Jaksch, D. (2020). Isolated Heisenberg magnet as a quantum time crystal.</w:t>
      </w:r>
      <w:r>
        <w:t xml:space="preserve"> </w:t>
      </w:r>
      <w:r>
        <w:rPr>
          <w:iCs/>
          <w:i/>
        </w:rPr>
        <w:t xml:space="preserve">Physical Review B</w:t>
      </w:r>
      <w:r>
        <w:t xml:space="preserve">,</w:t>
      </w:r>
      <w:r>
        <w:t xml:space="preserve"> </w:t>
      </w:r>
      <w:r>
        <w:rPr>
          <w:iCs/>
          <w:i/>
        </w:rPr>
        <w:t xml:space="preserve">102</w:t>
      </w:r>
      <w:r>
        <w:t xml:space="preserve">, 041117. https://doi.org/10.1103/PhysRevB.102.041117</w:t>
      </w:r>
    </w:p>
    <w:p>
      <w:pPr>
        <w:pStyle w:val="RefEntry"/>
      </w:pPr>
      <w:r>
        <w:t xml:space="preserve">Mi, X., Ippoliti, M., Quintana, C., Greene, A., Chen, Z., Gross, J., Arute, F., Arya, K., Atalaya, J., Babbush, R., Bardin, J. C., Basso, J., Bengtsson, A., Bilmes, A., Bourassa, A., Brill, L., Broughton, M., Buckley, B. B., Buell, D. A., Burkett, B., Bushnell, N., Chiaro, B., Collins, R., Courtney, W., Debroy, D., Demura, S., Derk, A. R., Dunsworth, A., Eppens, D., Erickson, C., Farhi, E., Fowler, A. G., Foxen, B., Gidney, C., Giustina, M., Harrigan, M. P., Harrington, S. D., Hilton, J., Ho, A., Hong, S., Huang, T., Huff, A., Huggins, W. J., Ioffe, L. B., Isakov, S. V., Iveland, J., Jeffrey, E., Jiang, Z., Jones, C., Kafri, D., Khattar, T., Kim, S., Kitaev, A., Klimov, P. V., Korotkov, A. N., Kostritsa, F., Landhuis, D., Laptev, P., Lee, J., Lee, K., Locharla, A., Lucero, E., Martin, O., McClean, J. R., McCourt, T., McEwen, M., Miao, K. C., Mohseni, M., Montazeri, S., Mruczkiewicz, W., Naaman, O., Neeley, M., Neill, C., Newman, M., Niu, M. Y., O’Brien, T. E., Opremcak, A., Ostby, E., Pato, B., Petukhov, A., Rubin, N. C., Sank, D., Satzinger, K. J., Shvarts, V., Su, Y., Strain, D., Szalay, M., Trevithick, M. D., Villalonga, B., White, T., Yao, Z. J., Yeh, P., Yoo, J., Zalcman, A., Neven, H., Boixo, S., Smelyanskiy, V., Megrant, A., Kelly, J., Chen, Y., Sondhi, S. L., Moessner, R., Kechedzhi, K., Khemani, V., &amp; Roushan, P. (2022). Time-crystalline eigenstate order on a quantum processor.</w:t>
      </w:r>
      <w:r>
        <w:t xml:space="preserve"> </w:t>
      </w:r>
      <w:r>
        <w:rPr>
          <w:iCs/>
          <w:i/>
        </w:rPr>
        <w:t xml:space="preserve">Nature</w:t>
      </w:r>
      <w:r>
        <w:t xml:space="preserve">,</w:t>
      </w:r>
      <w:r>
        <w:t xml:space="preserve"> </w:t>
      </w:r>
      <w:r>
        <w:rPr>
          <w:iCs/>
          <w:i/>
        </w:rPr>
        <w:t xml:space="preserve">601</w:t>
      </w:r>
      <w:r>
        <w:t xml:space="preserve">(7894), 531–536. https://doi.org/10.1038/s41586-021-04257-w</w:t>
      </w:r>
    </w:p>
    <w:p>
      <w:pPr>
        <w:pStyle w:val="RefEntry"/>
      </w:pPr>
      <w:r>
        <w:t xml:space="preserve">Mori, T., Kuwahara, T., &amp; Saito, K. (2016). Rigorous bound on energy absorption and generic relaxation in periodically driven quantum systems.</w:t>
      </w:r>
      <w:r>
        <w:t xml:space="preserve"> </w:t>
      </w:r>
      <w:r>
        <w:rPr>
          <w:iCs/>
          <w:i/>
        </w:rPr>
        <w:t xml:space="preserve">Physical Review Letters</w:t>
      </w:r>
      <w:r>
        <w:t xml:space="preserve">,</w:t>
      </w:r>
      <w:r>
        <w:t xml:space="preserve"> </w:t>
      </w:r>
      <w:r>
        <w:rPr>
          <w:iCs/>
          <w:i/>
        </w:rPr>
        <w:t xml:space="preserve">116</w:t>
      </w:r>
      <w:r>
        <w:t xml:space="preserve">(12), 120401. https://doi.org/10.1103/PhysRevLett.116.120401</w:t>
      </w:r>
    </w:p>
    <w:p>
      <w:pPr>
        <w:pStyle w:val="RefEntry"/>
      </w:pPr>
      <w:r>
        <w:t xml:space="preserve">Morningstar, A., Colmenarez, L., Khemani, V., Luitz, D. J., &amp; Huse, D. A. (2022). Avalanches and many-body resonances in many-body localized systems.</w:t>
      </w:r>
      <w:r>
        <w:t xml:space="preserve"> </w:t>
      </w:r>
      <w:r>
        <w:rPr>
          <w:iCs/>
          <w:i/>
        </w:rPr>
        <w:t xml:space="preserve">Physical Review B</w:t>
      </w:r>
      <w:r>
        <w:t xml:space="preserve">,</w:t>
      </w:r>
      <w:r>
        <w:t xml:space="preserve"> </w:t>
      </w:r>
      <w:r>
        <w:rPr>
          <w:iCs/>
          <w:i/>
        </w:rPr>
        <w:t xml:space="preserve">105</w:t>
      </w:r>
      <w:r>
        <w:t xml:space="preserve">, 174205. https://doi.org/10.1103/PhysRevB.105.174205</w:t>
      </w:r>
    </w:p>
    <w:p>
      <w:pPr>
        <w:pStyle w:val="RefEntry"/>
      </w:pPr>
      <w:r>
        <w:t xml:space="preserve">Pal, A., &amp; Huse, D. A. (2010). Many-body localization phase transition.</w:t>
      </w:r>
      <w:r>
        <w:t xml:space="preserve"> </w:t>
      </w:r>
      <w:r>
        <w:rPr>
          <w:iCs/>
          <w:i/>
        </w:rPr>
        <w:t xml:space="preserve">Phys. Rev. B</w:t>
      </w:r>
      <w:r>
        <w:t xml:space="preserve">,</w:t>
      </w:r>
      <w:r>
        <w:t xml:space="preserve"> </w:t>
      </w:r>
      <w:r>
        <w:rPr>
          <w:iCs/>
          <w:i/>
        </w:rPr>
        <w:t xml:space="preserve">82</w:t>
      </w:r>
      <w:r>
        <w:t xml:space="preserve">, 174411. https://doi.org/10.1103/PhysRevB.82.174411</w:t>
      </w:r>
    </w:p>
    <w:p>
      <w:pPr>
        <w:pStyle w:val="RefEntry"/>
      </w:pPr>
      <w:r>
        <w:t xml:space="preserve">Pal, S., Nishad, N., Mahesh, T. S., &amp; Sreejith, G. J. (2018). Temporal order in periodically driven spins in star-shaped clusters.</w:t>
      </w:r>
      <w:r>
        <w:t xml:space="preserve"> </w:t>
      </w:r>
      <w:r>
        <w:rPr>
          <w:iCs/>
          <w:i/>
        </w:rPr>
        <w:t xml:space="preserve">Physical Review Letters</w:t>
      </w:r>
      <w:r>
        <w:t xml:space="preserve">,</w:t>
      </w:r>
      <w:r>
        <w:t xml:space="preserve"> </w:t>
      </w:r>
      <w:r>
        <w:rPr>
          <w:iCs/>
          <w:i/>
        </w:rPr>
        <w:t xml:space="preserve">120</w:t>
      </w:r>
      <w:r>
        <w:t xml:space="preserve">, 180602. https://doi.org/10.1103/PhysRevLett.120.180602</w:t>
      </w:r>
    </w:p>
    <w:p>
      <w:pPr>
        <w:pStyle w:val="RefEntry"/>
      </w:pPr>
      <w:r>
        <w:t xml:space="preserve">Pfeuty, P. (1970). The one-dimensional Ising model with a transverse field.</w:t>
      </w:r>
      <w:r>
        <w:t xml:space="preserve"> </w:t>
      </w:r>
      <w:r>
        <w:rPr>
          <w:iCs/>
          <w:i/>
        </w:rPr>
        <w:t xml:space="preserve">Annals of Physics</w:t>
      </w:r>
      <w:r>
        <w:t xml:space="preserve">,</w:t>
      </w:r>
      <w:r>
        <w:t xml:space="preserve"> </w:t>
      </w:r>
      <w:r>
        <w:rPr>
          <w:iCs/>
          <w:i/>
        </w:rPr>
        <w:t xml:space="preserve">57</w:t>
      </w:r>
      <w:r>
        <w:t xml:space="preserve">(1), 79–90. https://doi.org/10.1016/0003-4916(70)90270-8</w:t>
      </w:r>
    </w:p>
    <w:p>
      <w:pPr>
        <w:pStyle w:val="RefEntry"/>
      </w:pPr>
      <w:r>
        <w:t xml:space="preserve">Pizzi, A., Knolle, J., &amp; Nunnenkamp, A. (2021). Higher-order and fractional discrete time crystals in clean long-range interacting systems.</w:t>
      </w:r>
      <w:r>
        <w:t xml:space="preserve"> </w:t>
      </w:r>
      <w:r>
        <w:rPr>
          <w:iCs/>
          <w:i/>
        </w:rPr>
        <w:t xml:space="preserve">Nature Communications</w:t>
      </w:r>
      <w:r>
        <w:t xml:space="preserve">,</w:t>
      </w:r>
      <w:r>
        <w:t xml:space="preserve"> </w:t>
      </w:r>
      <w:r>
        <w:rPr>
          <w:iCs/>
          <w:i/>
        </w:rPr>
        <w:t xml:space="preserve">12</w:t>
      </w:r>
      <w:r>
        <w:t xml:space="preserve">, 2341. https://doi.org/10.1038/s41467-021-22583-5</w:t>
      </w:r>
    </w:p>
    <w:p>
      <w:pPr>
        <w:pStyle w:val="RefEntry"/>
      </w:pPr>
      <w:r>
        <w:t xml:space="preserve">Ponte, P., Papić, Z., Huveneers, F., &amp; Abanin, D. A. (2015). Many-body localization in periodically driven systems.</w:t>
      </w:r>
      <w:r>
        <w:t xml:space="preserve"> </w:t>
      </w:r>
      <w:r>
        <w:rPr>
          <w:iCs/>
          <w:i/>
        </w:rPr>
        <w:t xml:space="preserve">Physical Review Letters</w:t>
      </w:r>
      <w:r>
        <w:t xml:space="preserve">,</w:t>
      </w:r>
      <w:r>
        <w:t xml:space="preserve"> </w:t>
      </w:r>
      <w:r>
        <w:rPr>
          <w:iCs/>
          <w:i/>
        </w:rPr>
        <w:t xml:space="preserve">114</w:t>
      </w:r>
      <w:r>
        <w:t xml:space="preserve">, 140401. https://doi.org/10.1103/PhysRevLett.114.140401</w:t>
      </w:r>
    </w:p>
    <w:p>
      <w:pPr>
        <w:pStyle w:val="RefEntry"/>
      </w:pPr>
      <w:r>
        <w:t xml:space="preserve">Rahaman, M., Mori, T., &amp; Roy, A. (2024a). Phase crossover induced by dynamical many-body localization in periodically driven long-range spin systems.</w:t>
      </w:r>
      <w:r>
        <w:t xml:space="preserve"> </w:t>
      </w:r>
      <w:r>
        <w:rPr>
          <w:iCs/>
          <w:i/>
        </w:rPr>
        <w:t xml:space="preserve">Phys. Rev. B</w:t>
      </w:r>
      <w:r>
        <w:t xml:space="preserve">,</w:t>
      </w:r>
      <w:r>
        <w:t xml:space="preserve"> </w:t>
      </w:r>
      <w:r>
        <w:rPr>
          <w:iCs/>
          <w:i/>
        </w:rPr>
        <w:t xml:space="preserve">109</w:t>
      </w:r>
      <w:r>
        <w:t xml:space="preserve">, 104311. https://doi.org/10.1103/PhysRevB.109.104311</w:t>
      </w:r>
    </w:p>
    <w:p>
      <w:pPr>
        <w:pStyle w:val="RefEntry"/>
      </w:pPr>
      <w:r>
        <w:t xml:space="preserve">Rahaman, M., &amp; Roy, A. (2026). Discrete time crystal order in spin chains enabled by Floquet flat bands.</w:t>
      </w:r>
      <w:r>
        <w:t xml:space="preserve"> </w:t>
      </w:r>
      <w:r>
        <w:rPr>
          <w:iCs/>
          <w:i/>
        </w:rPr>
        <w:t xml:space="preserve">Phys. Rev. B</w:t>
      </w:r>
      <w:r>
        <w:t xml:space="preserve">,</w:t>
      </w:r>
      <w:r>
        <w:t xml:space="preserve"> </w:t>
      </w:r>
      <w:r>
        <w:rPr>
          <w:iCs/>
          <w:i/>
        </w:rPr>
        <w:t xml:space="preserve">114</w:t>
      </w:r>
      <w:r>
        <w:t xml:space="preserve">, 034311. https://doi.org/10.1103/rzj3-fb2n</w:t>
      </w:r>
    </w:p>
    <w:p>
      <w:pPr>
        <w:pStyle w:val="RefEntry"/>
      </w:pPr>
      <w:r>
        <w:t xml:space="preserve">Rahaman, M., Sakurai, A., &amp; Roy, A. (2024b). Time crystal embodies chimeralike state in periodically driven quantum spin system.</w:t>
      </w:r>
      <w:r>
        <w:t xml:space="preserve"> </w:t>
      </w:r>
      <w:r>
        <w:rPr>
          <w:iCs/>
          <w:i/>
        </w:rPr>
        <w:t xml:space="preserve">New Journal of Physics</w:t>
      </w:r>
      <w:r>
        <w:t xml:space="preserve">,</w:t>
      </w:r>
      <w:r>
        <w:t xml:space="preserve"> </w:t>
      </w:r>
      <w:r>
        <w:rPr>
          <w:iCs/>
          <w:i/>
        </w:rPr>
        <w:t xml:space="preserve">26</w:t>
      </w:r>
      <w:r>
        <w:t xml:space="preserve">(6), 063035. https://doi.org/10.1088/1367-2630/ad5757</w:t>
      </w:r>
    </w:p>
    <w:p>
      <w:pPr>
        <w:pStyle w:val="RefEntry"/>
      </w:pPr>
      <w:r>
        <w:t xml:space="preserve">Randall, J., Bradley, C. E., van der Gronden, F. V., Galicia, A., Abobeih, M. H., Markham, M., Twitchen, D. J., Machado, F., Yao, N. Y., &amp; Taminiau, T. H. (2021). Many-body–localized discrete time crystal with a programmable spin-based quantum simulator.</w:t>
      </w:r>
      <w:r>
        <w:t xml:space="preserve"> </w:t>
      </w:r>
      <w:r>
        <w:rPr>
          <w:iCs/>
          <w:i/>
        </w:rPr>
        <w:t xml:space="preserve">Science</w:t>
      </w:r>
      <w:r>
        <w:t xml:space="preserve">,</w:t>
      </w:r>
      <w:r>
        <w:t xml:space="preserve"> </w:t>
      </w:r>
      <w:r>
        <w:rPr>
          <w:iCs/>
          <w:i/>
        </w:rPr>
        <w:t xml:space="preserve">374</w:t>
      </w:r>
      <w:r>
        <w:t xml:space="preserve">(6574), 1474–1478. https://doi.org/10.1126/science.abk0603</w:t>
      </w:r>
    </w:p>
    <w:p>
      <w:pPr>
        <w:pStyle w:val="RefEntry"/>
      </w:pPr>
      <w:r>
        <w:t xml:space="preserve">Rigol, M., Dunjko, V., Yurovsky, V., &amp; Olshanii, M. (2007). Relaxation in a completely integrable many-body quantum system.</w:t>
      </w:r>
      <w:r>
        <w:t xml:space="preserve"> </w:t>
      </w:r>
      <w:r>
        <w:rPr>
          <w:iCs/>
          <w:i/>
        </w:rPr>
        <w:t xml:space="preserve">Physical Review Letters</w:t>
      </w:r>
      <w:r>
        <w:t xml:space="preserve">,</w:t>
      </w:r>
      <w:r>
        <w:t xml:space="preserve"> </w:t>
      </w:r>
      <w:r>
        <w:rPr>
          <w:iCs/>
          <w:i/>
        </w:rPr>
        <w:t xml:space="preserve">98</w:t>
      </w:r>
      <w:r>
        <w:t xml:space="preserve">, 050405. https://doi.org/10.1103/PhysRevLett.98.050405</w:t>
      </w:r>
    </w:p>
    <w:p>
      <w:pPr>
        <w:pStyle w:val="RefEntry"/>
      </w:pPr>
      <w:r>
        <w:t xml:space="preserve">Rovny, J., Blum, R. L., &amp; Barrett, S. E. (2018). Observation of discrete-time-crystal signatures in an ordered dipolar many-body system.</w:t>
      </w:r>
      <w:r>
        <w:t xml:space="preserve"> </w:t>
      </w:r>
      <w:r>
        <w:rPr>
          <w:iCs/>
          <w:i/>
        </w:rPr>
        <w:t xml:space="preserve">Physical Review Letters</w:t>
      </w:r>
      <w:r>
        <w:t xml:space="preserve">,</w:t>
      </w:r>
      <w:r>
        <w:t xml:space="preserve"> </w:t>
      </w:r>
      <w:r>
        <w:rPr>
          <w:iCs/>
          <w:i/>
        </w:rPr>
        <w:t xml:space="preserve">120</w:t>
      </w:r>
      <w:r>
        <w:t xml:space="preserve">, 180603. https://doi.org/10.1103/PhysRevLett.120.180603</w:t>
      </w:r>
    </w:p>
    <w:p>
      <w:pPr>
        <w:pStyle w:val="RefEntry"/>
      </w:pPr>
      <w:r>
        <w:t xml:space="preserve">Russomanno, A., Iemini, F., Dalmonte, M., &amp; Fazio, R. (2017). Floquet time crystal in the Lipkin-Meshkov-Glick model.</w:t>
      </w:r>
      <w:r>
        <w:t xml:space="preserve"> </w:t>
      </w:r>
      <w:r>
        <w:rPr>
          <w:iCs/>
          <w:i/>
        </w:rPr>
        <w:t xml:space="preserve">Physical Review B</w:t>
      </w:r>
      <w:r>
        <w:t xml:space="preserve">,</w:t>
      </w:r>
      <w:r>
        <w:t xml:space="preserve"> </w:t>
      </w:r>
      <w:r>
        <w:rPr>
          <w:iCs/>
          <w:i/>
        </w:rPr>
        <w:t xml:space="preserve">95</w:t>
      </w:r>
      <w:r>
        <w:t xml:space="preserve">, 214307. https://doi.org/10.1103/PhysRevB.95.214307</w:t>
      </w:r>
    </w:p>
    <w:p>
      <w:pPr>
        <w:pStyle w:val="RefEntry"/>
      </w:pPr>
      <w:r>
        <w:t xml:space="preserve">Sacha, K. (2015). Modeling spontaneous breaking of time-translation symmetry.</w:t>
      </w:r>
      <w:r>
        <w:t xml:space="preserve"> </w:t>
      </w:r>
      <w:r>
        <w:rPr>
          <w:iCs/>
          <w:i/>
        </w:rPr>
        <w:t xml:space="preserve">Physical Review A</w:t>
      </w:r>
      <w:r>
        <w:t xml:space="preserve">,</w:t>
      </w:r>
      <w:r>
        <w:t xml:space="preserve"> </w:t>
      </w:r>
      <w:r>
        <w:rPr>
          <w:iCs/>
          <w:i/>
        </w:rPr>
        <w:t xml:space="preserve">91</w:t>
      </w:r>
      <w:r>
        <w:t xml:space="preserve">, 033617. https://doi.org/10.1103/PhysRevA.91.033617</w:t>
      </w:r>
    </w:p>
    <w:p>
      <w:pPr>
        <w:pStyle w:val="RefEntry"/>
      </w:pPr>
      <w:r>
        <w:t xml:space="preserve">Sacha, K. (2020).</w:t>
      </w:r>
      <w:r>
        <w:t xml:space="preserve"> </w:t>
      </w:r>
      <w:r>
        <w:rPr>
          <w:iCs/>
          <w:i/>
        </w:rPr>
        <w:t xml:space="preserve">Time crystals</w:t>
      </w:r>
      <w:r>
        <w:t xml:space="preserve"> </w:t>
      </w:r>
      <w:r>
        <w:t xml:space="preserve">(1st ed.), volume 114 of</w:t>
      </w:r>
      <w:r>
        <w:t xml:space="preserve"> </w:t>
      </w:r>
      <w:r>
        <w:rPr>
          <w:iCs/>
          <w:i/>
        </w:rPr>
        <w:t xml:space="preserve">Springer Series on Atomic, Optical, and Plasma Physics</w:t>
      </w:r>
      <w:r>
        <w:t xml:space="preserve">. Springer, Cham, Switzerland. https://doi.org/10.1007/978-3-030-52523-1</w:t>
      </w:r>
    </w:p>
    <w:p>
      <w:pPr>
        <w:pStyle w:val="RefEntry"/>
      </w:pPr>
      <w:r>
        <w:t xml:space="preserve">Sacha, K., &amp; Zakrzewski, J. (2018). Time crystals: a review.</w:t>
      </w:r>
      <w:r>
        <w:t xml:space="preserve"> </w:t>
      </w:r>
      <w:r>
        <w:rPr>
          <w:iCs/>
          <w:i/>
        </w:rPr>
        <w:t xml:space="preserve">Reports on Progress in Physics</w:t>
      </w:r>
      <w:r>
        <w:t xml:space="preserve">,</w:t>
      </w:r>
      <w:r>
        <w:t xml:space="preserve"> </w:t>
      </w:r>
      <w:r>
        <w:rPr>
          <w:iCs/>
          <w:i/>
        </w:rPr>
        <w:t xml:space="preserve">81</w:t>
      </w:r>
      <w:r>
        <w:t xml:space="preserve">(1), 016401. https://doi.org/10.1088/1361-6633/aa8b38</w:t>
      </w:r>
    </w:p>
    <w:p>
      <w:pPr>
        <w:pStyle w:val="RefEntry"/>
      </w:pPr>
      <w:r>
        <w:t xml:space="preserve">Sala, P., Rakovszky, T., Verresen, R., Knap, M., &amp; Pollmann, F. (2020). Ergodicity breaking arising from Hilbert space fragmentation in dipole-conserving Hamiltonians.</w:t>
      </w:r>
      <w:r>
        <w:t xml:space="preserve"> </w:t>
      </w:r>
      <w:r>
        <w:rPr>
          <w:iCs/>
          <w:i/>
        </w:rPr>
        <w:t xml:space="preserve">Physical Review X</w:t>
      </w:r>
      <w:r>
        <w:t xml:space="preserve">,</w:t>
      </w:r>
      <w:r>
        <w:t xml:space="preserve"> </w:t>
      </w:r>
      <w:r>
        <w:rPr>
          <w:iCs/>
          <w:i/>
        </w:rPr>
        <w:t xml:space="preserve">10</w:t>
      </w:r>
      <w:r>
        <w:t xml:space="preserve">, 011047. https://doi.org/10.1103/PhysRevX.10.011047</w:t>
      </w:r>
    </w:p>
    <w:p>
      <w:pPr>
        <w:pStyle w:val="RefEntry"/>
      </w:pPr>
      <w:r>
        <w:t xml:space="preserve">Serbyn, M., Abanin, D. A., &amp; Papić, Z. (2021). Quantum many-body scars and weak breaking of ergodicity.</w:t>
      </w:r>
      <w:r>
        <w:t xml:space="preserve"> </w:t>
      </w:r>
      <w:r>
        <w:rPr>
          <w:iCs/>
          <w:i/>
        </w:rPr>
        <w:t xml:space="preserve">Nature Physics</w:t>
      </w:r>
      <w:r>
        <w:t xml:space="preserve">,</w:t>
      </w:r>
      <w:r>
        <w:t xml:space="preserve"> </w:t>
      </w:r>
      <w:r>
        <w:rPr>
          <w:iCs/>
          <w:i/>
        </w:rPr>
        <w:t xml:space="preserve">17</w:t>
      </w:r>
      <w:r>
        <w:t xml:space="preserve">(6), 675–685. https://doi.org/10.1038/s41567-021-01230-2</w:t>
      </w:r>
    </w:p>
    <w:p>
      <w:pPr>
        <w:pStyle w:val="RefEntry"/>
      </w:pPr>
      <w:r>
        <w:t xml:space="preserve">Serbyn, M., Papić, Z., &amp; Abanin, D. A. (2013). Local conservation laws and the structure of the many-body localized states.</w:t>
      </w:r>
      <w:r>
        <w:t xml:space="preserve"> </w:t>
      </w:r>
      <w:r>
        <w:rPr>
          <w:iCs/>
          <w:i/>
        </w:rPr>
        <w:t xml:space="preserve">Physical Review Letters</w:t>
      </w:r>
      <w:r>
        <w:t xml:space="preserve">,</w:t>
      </w:r>
      <w:r>
        <w:t xml:space="preserve"> </w:t>
      </w:r>
      <w:r>
        <w:rPr>
          <w:iCs/>
          <w:i/>
        </w:rPr>
        <w:t xml:space="preserve">111</w:t>
      </w:r>
      <w:r>
        <w:t xml:space="preserve">, 127201. https://doi.org/10.1103/PhysRevLett.111.127201</w:t>
      </w:r>
    </w:p>
    <w:p>
      <w:pPr>
        <w:pStyle w:val="RefEntry"/>
      </w:pPr>
      <w:r>
        <w:t xml:space="preserve">Shapere, A., &amp; Wilczek, F. (2012). Classical time crystals.</w:t>
      </w:r>
      <w:r>
        <w:t xml:space="preserve"> </w:t>
      </w:r>
      <w:r>
        <w:rPr>
          <w:iCs/>
          <w:i/>
        </w:rPr>
        <w:t xml:space="preserve">Physical Review Letters</w:t>
      </w:r>
      <w:r>
        <w:t xml:space="preserve">,</w:t>
      </w:r>
      <w:r>
        <w:t xml:space="preserve"> </w:t>
      </w:r>
      <w:r>
        <w:rPr>
          <w:iCs/>
          <w:i/>
        </w:rPr>
        <w:t xml:space="preserve">109</w:t>
      </w:r>
      <w:r>
        <w:t xml:space="preserve">, 160402. https://doi.org/10.1103/PhysRevLett.109.160402</w:t>
      </w:r>
    </w:p>
    <w:p>
      <w:pPr>
        <w:pStyle w:val="RefEntry"/>
      </w:pPr>
      <w:r>
        <w:t xml:space="preserve">Srednicki, M. (1994). Chaos and quantum thermalization.</w:t>
      </w:r>
      <w:r>
        <w:t xml:space="preserve"> </w:t>
      </w:r>
      <w:r>
        <w:rPr>
          <w:iCs/>
          <w:i/>
        </w:rPr>
        <w:t xml:space="preserve">Physical Review E</w:t>
      </w:r>
      <w:r>
        <w:t xml:space="preserve">,</w:t>
      </w:r>
      <w:r>
        <w:t xml:space="preserve"> </w:t>
      </w:r>
      <w:r>
        <w:rPr>
          <w:iCs/>
          <w:i/>
        </w:rPr>
        <w:t xml:space="preserve">50</w:t>
      </w:r>
      <w:r>
        <w:t xml:space="preserve">(2), 888–901. https://doi.org/10.1103/PhysRevE.50.888</w:t>
      </w:r>
    </w:p>
    <w:p>
      <w:pPr>
        <w:pStyle w:val="RefEntry"/>
      </w:pPr>
      <w:r>
        <w:t xml:space="preserve">Šuntajs, J., Bonča, J., Prosen, T., &amp; Vidmar, L. (2020). Quantum chaos challenges many-body localization.</w:t>
      </w:r>
      <w:r>
        <w:t xml:space="preserve"> </w:t>
      </w:r>
      <w:r>
        <w:rPr>
          <w:iCs/>
          <w:i/>
        </w:rPr>
        <w:t xml:space="preserve">Physical Review E</w:t>
      </w:r>
      <w:r>
        <w:t xml:space="preserve">,</w:t>
      </w:r>
      <w:r>
        <w:t xml:space="preserve"> </w:t>
      </w:r>
      <w:r>
        <w:rPr>
          <w:iCs/>
          <w:i/>
        </w:rPr>
        <w:t xml:space="preserve">102</w:t>
      </w:r>
      <w:r>
        <w:t xml:space="preserve">, 062144. https://doi.org/10.1103/PhysRevE.102.062144</w:t>
      </w:r>
    </w:p>
    <w:p>
      <w:pPr>
        <w:pStyle w:val="RefEntry"/>
      </w:pPr>
      <w:r>
        <w:t xml:space="preserve">Suzuki, M. (1971). Ergodicity, constants of motion, and bounds for susceptibilities.</w:t>
      </w:r>
      <w:r>
        <w:t xml:space="preserve"> </w:t>
      </w:r>
      <w:r>
        <w:rPr>
          <w:iCs/>
          <w:i/>
        </w:rPr>
        <w:t xml:space="preserve">Physica</w:t>
      </w:r>
      <w:r>
        <w:t xml:space="preserve">,</w:t>
      </w:r>
      <w:r>
        <w:t xml:space="preserve"> </w:t>
      </w:r>
      <w:r>
        <w:rPr>
          <w:iCs/>
          <w:i/>
        </w:rPr>
        <w:t xml:space="preserve">51</w:t>
      </w:r>
      <w:r>
        <w:t xml:space="preserve">(2), 277–291. https://doi.org/10.1016/0031-8914(71)90226-6</w:t>
      </w:r>
    </w:p>
    <w:p>
      <w:pPr>
        <w:pStyle w:val="RefEntry"/>
      </w:pPr>
      <w:r>
        <w:t xml:space="preserve">Thakurathi, M., Patel, A. A., Sen, D., &amp; Dutta, A. (2013). Floquet generation of Majorana end modes and topological invariants.</w:t>
      </w:r>
      <w:r>
        <w:t xml:space="preserve"> </w:t>
      </w:r>
      <w:r>
        <w:rPr>
          <w:iCs/>
          <w:i/>
        </w:rPr>
        <w:t xml:space="preserve">Physical Review B</w:t>
      </w:r>
      <w:r>
        <w:t xml:space="preserve">,</w:t>
      </w:r>
      <w:r>
        <w:t xml:space="preserve"> </w:t>
      </w:r>
      <w:r>
        <w:rPr>
          <w:iCs/>
          <w:i/>
        </w:rPr>
        <w:t xml:space="preserve">88</w:t>
      </w:r>
      <w:r>
        <w:t xml:space="preserve">, 155133. https://doi.org/10.1103/PhysRevB.88.155133</w:t>
      </w:r>
    </w:p>
    <w:p>
      <w:pPr>
        <w:pStyle w:val="RefEntry"/>
      </w:pPr>
      <w:r>
        <w:t xml:space="preserve">Turner, C. J., Michailidis, A. A., Abanin, D. A., Serbyn, M., &amp; Papić, Z. (2018). Weak ergodicity breaking from quantum many-body scars.</w:t>
      </w:r>
      <w:r>
        <w:t xml:space="preserve"> </w:t>
      </w:r>
      <w:r>
        <w:rPr>
          <w:iCs/>
          <w:i/>
        </w:rPr>
        <w:t xml:space="preserve">Nature Physics</w:t>
      </w:r>
      <w:r>
        <w:t xml:space="preserve">,</w:t>
      </w:r>
      <w:r>
        <w:t xml:space="preserve"> </w:t>
      </w:r>
      <w:r>
        <w:rPr>
          <w:iCs/>
          <w:i/>
        </w:rPr>
        <w:t xml:space="preserve">14</w:t>
      </w:r>
      <w:r>
        <w:t xml:space="preserve">(7), 745–749. https://doi.org/10.1038/s41567-018-0137-5</w:t>
      </w:r>
    </w:p>
    <w:p>
      <w:pPr>
        <w:pStyle w:val="RefEntry"/>
      </w:pPr>
      <w:r>
        <w:t xml:space="preserve">Vidmar, L., &amp; Rigol, M. (2016). Generalized Gibbs ensemble in integrable lattice models.</w:t>
      </w:r>
      <w:r>
        <w:t xml:space="preserve"> </w:t>
      </w:r>
      <w:r>
        <w:rPr>
          <w:iCs/>
          <w:i/>
        </w:rPr>
        <w:t xml:space="preserve">Journal of Statistical Mechanics: Theory and Experiment</w:t>
      </w:r>
      <w:r>
        <w:t xml:space="preserve">,</w:t>
      </w:r>
      <w:r>
        <w:t xml:space="preserve"> </w:t>
      </w:r>
      <w:r>
        <w:rPr>
          <w:iCs/>
          <w:i/>
        </w:rPr>
        <w:t xml:space="preserve">2016</w:t>
      </w:r>
      <w:r>
        <w:t xml:space="preserve">(6), 064007. https://doi.org/10.1088/1742-5468/2016/06/064007</w:t>
      </w:r>
    </w:p>
    <w:p>
      <w:pPr>
        <w:pStyle w:val="RefEntry"/>
      </w:pPr>
      <w:r>
        <w:t xml:space="preserve">von Keyserlingk, C. W., Khemani, V., &amp; Sondhi, S. L. (2016). Absolute stability and spatiotemporal long-range order in Floquet systems.</w:t>
      </w:r>
      <w:r>
        <w:t xml:space="preserve"> </w:t>
      </w:r>
      <w:r>
        <w:rPr>
          <w:iCs/>
          <w:i/>
        </w:rPr>
        <w:t xml:space="preserve">Physical Review B</w:t>
      </w:r>
      <w:r>
        <w:t xml:space="preserve">,</w:t>
      </w:r>
      <w:r>
        <w:t xml:space="preserve"> </w:t>
      </w:r>
      <w:r>
        <w:rPr>
          <w:iCs/>
          <w:i/>
        </w:rPr>
        <w:t xml:space="preserve">94</w:t>
      </w:r>
      <w:r>
        <w:t xml:space="preserve">, 085112. https://doi.org/10.1103/PhysRevB.94.085112</w:t>
      </w:r>
    </w:p>
    <w:p>
      <w:pPr>
        <w:pStyle w:val="RefEntry"/>
      </w:pPr>
      <w:r>
        <w:t xml:space="preserve">von Keyserlingk, C. W., &amp; Sondhi, S. L. (2016). Phase structure of one-dimensional interacting Floquet systems. II. Symmetry-broken phases.</w:t>
      </w:r>
      <w:r>
        <w:t xml:space="preserve"> </w:t>
      </w:r>
      <w:r>
        <w:rPr>
          <w:iCs/>
          <w:i/>
        </w:rPr>
        <w:t xml:space="preserve">Physical Review B</w:t>
      </w:r>
      <w:r>
        <w:t xml:space="preserve">,</w:t>
      </w:r>
      <w:r>
        <w:t xml:space="preserve"> </w:t>
      </w:r>
      <w:r>
        <w:rPr>
          <w:iCs/>
          <w:i/>
        </w:rPr>
        <w:t xml:space="preserve">93</w:t>
      </w:r>
      <w:r>
        <w:t xml:space="preserve">, 245146. https://doi.org/10.1103/PhysRevB.93.245146</w:t>
      </w:r>
    </w:p>
    <w:p>
      <w:pPr>
        <w:pStyle w:val="RefEntry"/>
      </w:pPr>
      <w:r>
        <w:t xml:space="preserve">Watanabe, H., &amp; Oshikawa, M. (2015). Absence of quantum time crystals.</w:t>
      </w:r>
      <w:r>
        <w:t xml:space="preserve"> </w:t>
      </w:r>
      <w:r>
        <w:rPr>
          <w:iCs/>
          <w:i/>
        </w:rPr>
        <w:t xml:space="preserve">Physical Review Letters</w:t>
      </w:r>
      <w:r>
        <w:t xml:space="preserve">,</w:t>
      </w:r>
      <w:r>
        <w:t xml:space="preserve"> </w:t>
      </w:r>
      <w:r>
        <w:rPr>
          <w:iCs/>
          <w:i/>
        </w:rPr>
        <w:t xml:space="preserve">114</w:t>
      </w:r>
      <w:r>
        <w:t xml:space="preserve">, 251603. https://doi.org/10.1103/PhysRevLett.114.251603</w:t>
      </w:r>
    </w:p>
    <w:p>
      <w:pPr>
        <w:pStyle w:val="RefEntry"/>
      </w:pPr>
      <w:r>
        <w:t xml:space="preserve">Watanabe, H., Oshikawa, M., &amp; Koma, T. (2020). Proof of the absence of long-range temporal orders in Gibbs states.</w:t>
      </w:r>
      <w:r>
        <w:t xml:space="preserve"> </w:t>
      </w:r>
      <w:r>
        <w:rPr>
          <w:iCs/>
          <w:i/>
        </w:rPr>
        <w:t xml:space="preserve">Journal of Statistical Physics</w:t>
      </w:r>
      <w:r>
        <w:t xml:space="preserve">,</w:t>
      </w:r>
      <w:r>
        <w:t xml:space="preserve"> </w:t>
      </w:r>
      <w:r>
        <w:rPr>
          <w:iCs/>
          <w:i/>
        </w:rPr>
        <w:t xml:space="preserve">178</w:t>
      </w:r>
      <w:r>
        <w:t xml:space="preserve">(4), 926–935. https://doi.org/10.1007/s10955-019-02471-5</w:t>
      </w:r>
    </w:p>
    <w:p>
      <w:pPr>
        <w:pStyle w:val="RefEntry"/>
      </w:pPr>
      <w:r>
        <w:t xml:space="preserve">Wilczek, F. (2012). Quantum time crystals.</w:t>
      </w:r>
      <w:r>
        <w:t xml:space="preserve"> </w:t>
      </w:r>
      <w:r>
        <w:rPr>
          <w:iCs/>
          <w:i/>
        </w:rPr>
        <w:t xml:space="preserve">Physical Review Letters</w:t>
      </w:r>
      <w:r>
        <w:t xml:space="preserve">,</w:t>
      </w:r>
      <w:r>
        <w:t xml:space="preserve"> </w:t>
      </w:r>
      <w:r>
        <w:rPr>
          <w:iCs/>
          <w:i/>
        </w:rPr>
        <w:t xml:space="preserve">109</w:t>
      </w:r>
      <w:r>
        <w:t xml:space="preserve">, 160401. https://doi.org/10.1103/PhysRevLett.109.160401</w:t>
      </w:r>
    </w:p>
    <w:p>
      <w:pPr>
        <w:pStyle w:val="RefEntry"/>
      </w:pPr>
      <w:r>
        <w:t xml:space="preserve">Yang, C. N. (1989). η pairing and off-diagonal long-range order in a Hubbard model.</w:t>
      </w:r>
      <w:r>
        <w:t xml:space="preserve"> </w:t>
      </w:r>
      <w:r>
        <w:rPr>
          <w:iCs/>
          <w:i/>
        </w:rPr>
        <w:t xml:space="preserve">Physical Review Letters</w:t>
      </w:r>
      <w:r>
        <w:t xml:space="preserve">,</w:t>
      </w:r>
      <w:r>
        <w:t xml:space="preserve"> </w:t>
      </w:r>
      <w:r>
        <w:rPr>
          <w:iCs/>
          <w:i/>
        </w:rPr>
        <w:t xml:space="preserve">63</w:t>
      </w:r>
      <w:r>
        <w:t xml:space="preserve">, 2144–2147. https://doi.org/10.1103/PhysRevLett.63.2144</w:t>
      </w:r>
    </w:p>
    <w:p>
      <w:pPr>
        <w:pStyle w:val="RefEntry"/>
      </w:pPr>
      <w:r>
        <w:t xml:space="preserve">Yao, N. Y., Potter, A. C., Potirniche, I.-D., &amp; Vishwanath, A. (2017). Discrete time crystals: Rigidity, criticality, and realizations.</w:t>
      </w:r>
      <w:r>
        <w:t xml:space="preserve"> </w:t>
      </w:r>
      <w:r>
        <w:rPr>
          <w:iCs/>
          <w:i/>
        </w:rPr>
        <w:t xml:space="preserve">Physical Review Letters</w:t>
      </w:r>
      <w:r>
        <w:t xml:space="preserve">,</w:t>
      </w:r>
      <w:r>
        <w:t xml:space="preserve"> </w:t>
      </w:r>
      <w:r>
        <w:rPr>
          <w:iCs/>
          <w:i/>
        </w:rPr>
        <w:t xml:space="preserve">118</w:t>
      </w:r>
      <w:r>
        <w:t xml:space="preserve">, 030401. https://doi.org/10.1103/PhysRevLett.118.030401</w:t>
      </w:r>
    </w:p>
    <w:p>
      <w:pPr>
        <w:pStyle w:val="RefEntry"/>
      </w:pPr>
      <w:r>
        <w:t xml:space="preserve">Zaletel, M. P., Lukin, M., Monroe, C., Nayak, C., Wilczek, F., &amp; Yao, N. Y. (2023). Colloquium: Quantum and classical discrete time crystals.</w:t>
      </w:r>
      <w:r>
        <w:t xml:space="preserve"> </w:t>
      </w:r>
      <w:r>
        <w:rPr>
          <w:iCs/>
          <w:i/>
        </w:rPr>
        <w:t xml:space="preserve">Reviews of Modern Physics</w:t>
      </w:r>
      <w:r>
        <w:t xml:space="preserve">,</w:t>
      </w:r>
      <w:r>
        <w:t xml:space="preserve"> </w:t>
      </w:r>
      <w:r>
        <w:rPr>
          <w:iCs/>
          <w:i/>
        </w:rPr>
        <w:t xml:space="preserve">95</w:t>
      </w:r>
      <w:r>
        <w:t xml:space="preserve">, 031001. https://doi.org/10.1103/RevModPhys.95.031001</w:t>
      </w:r>
    </w:p>
    <w:p>
      <w:pPr>
        <w:pStyle w:val="RefEntry"/>
      </w:pPr>
      <w:r>
        <w:t xml:space="preserve">Zhang, J., Hess, P. W., Kyprianidis, A., Becker, P., Lee, A., Smith, J., Pagano, G., Potirniche, I.-D., Potter, A. C., Vishwanath, A., Yao, N. Y., &amp; Monroe, C. (2017). Observation of a discrete time crystal.</w:t>
      </w:r>
      <w:r>
        <w:t xml:space="preserve"> </w:t>
      </w:r>
      <w:r>
        <w:rPr>
          <w:iCs/>
          <w:i/>
        </w:rPr>
        <w:t xml:space="preserve">Nature</w:t>
      </w:r>
      <w:r>
        <w:t xml:space="preserve">,</w:t>
      </w:r>
      <w:r>
        <w:t xml:space="preserve"> </w:t>
      </w:r>
      <w:r>
        <w:rPr>
          <w:iCs/>
          <w:i/>
        </w:rPr>
        <w:t xml:space="preserve">543</w:t>
      </w:r>
      <w:r>
        <w:t xml:space="preserve">(7644), 217–220. https://doi.org/10.1038/nature21413</w:t>
      </w:r>
    </w:p>
    <w:bookmarkEnd w:id="36"/>
    <w:sectPr>
      <w:footerReference w:type="default" r:id="rIdFtr1"/>
      <w:type w:val="continuous"/>
      <w:pgSz w:w="11906" w:h="16838"/>
      <w:pgMar w:top="1440" w:right="1440" w:bottom="1440" w:left="1440" w:header="720" w:footer="720" w:gutter="0"/>
      <w:cols w:space="720" w:num="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Pr>
        <w:rFonts w:ascii="Times New Roman" w:hAnsi="Times New Roman" w:cs="Times New Roman"/>
        <w:sz w:val="24"/>
      </w:rPr>
      <w:t>1</w:t>
    </w:r>
    <w:r>
      <w:rPr>
        <w:rFonts w:ascii="Times New Roman" w:hAnsi="Times New Roman" w:cs="Times New Roman"/>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00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3">
    <w:nsid w:val="00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consecutiveHyphenLimit w:val="2"/>
  <w:hyphenationZone w:val="357"/>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color w:val="000000"/>
        <w:sz w:val="24"/>
        <w:szCs w:val="24"/>
        <w:lang w:val="en-US" w:eastAsia="en-US" w:bidi="ar-SA"/>
      </w:rPr>
    </w:rPrDefault>
    <w:pPrDefault>
      <w:pPr>
        <w:spacing w:before="0" w:after="120" w:line="360" w:lineRule="auto"/>
        <w:jc w:val="both"/>
      </w:pPr>
    </w:pPrDefault>
  </w:docDefaults>
  <w:latentStyles w:count="276" w:defLockedState="0" w:defQFormat="0" w:defSemiHidden="0" w:defUIPriority="0" w:defUnhideWhenUsed="0"/>
  <w:style w:default="1" w:styleId="Normal" w:type="paragraph">
    <w:name w:val="Normal"/>
    <w:qFormat/>
    <w:pPr>
      <w:spacing w:before="0" w:after="120" w:line="360" w:lineRule="auto"/>
      <w:jc w:val="both"/>
    </w:pPr>
    <w:rPr>
      <w:rFonts w:ascii="Times New Roman" w:hAnsi="Times New Roman" w:cs="Times New Roman" w:eastAsia="Times New Roman"/>
      <w:color w:val="000000"/>
      <w:sz w:val="24"/>
      <w:szCs w:val="24"/>
    </w:rPr>
  </w:style>
  <w:style w:styleId="BodyText" w:type="paragraph">
    <w:name w:val="Body Text"/>
    <w:basedOn w:val="Normal"/>
    <w:link w:val="BodyTextChar"/>
    <w:qFormat/>
    <w:pPr>
      <w:spacing w:before="0" w:after="120" w:line="360" w:lineRule="auto"/>
      <w:jc w:val="both"/>
    </w:pPr>
    <w:rPr>
      <w:rFonts w:ascii="Times New Roman" w:hAnsi="Times New Roman" w:cs="Times New Roman" w:eastAsia="Times New Roman"/>
      <w:color w:val="000000"/>
      <w:sz w:val="24"/>
      <w:szCs w:val="24"/>
    </w:rPr>
  </w:style>
  <w:style w:customStyle="1" w:styleId="FirstParagraph" w:type="paragraph">
    <w:name w:val="First Paragraph"/>
    <w:basedOn w:val="BodyText"/>
    <w:next w:val="BodyText"/>
    <w:qFormat/>
    <w:pPr>
      <w:spacing w:before="0" w:after="120" w:line="360" w:lineRule="auto"/>
      <w:jc w:val="both"/>
    </w:pPr>
    <w:rPr>
      <w:rFonts w:ascii="Times New Roman" w:hAnsi="Times New Roman" w:cs="Times New Roman" w:eastAsia="Times New Roman"/>
      <w:color w:val="000000"/>
      <w:sz w:val="24"/>
      <w:szCs w:val="24"/>
    </w:rPr>
  </w:style>
  <w:style w:customStyle="1" w:styleId="Compact" w:type="paragraph">
    <w:name w:val="Compact"/>
    <w:basedOn w:val="BodyText"/>
    <w:qFormat/>
    <w:pPr>
      <w:spacing w:before="0" w:after="120" w:line="360" w:lineRule="auto"/>
      <w:jc w:val="both"/>
    </w:pPr>
    <w:rPr>
      <w:rFonts w:ascii="Times New Roman" w:hAnsi="Times New Roman" w:cs="Times New Roman" w:eastAsia="Times New Roman"/>
      <w:color w:val="000000"/>
      <w:sz w:val="24"/>
      <w:szCs w:val="24"/>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color w:val="000000"/>
      <w:sz w:val="24"/>
      <w:szCs w:val="24"/>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color w:val="000000"/>
      <w:sz w:val="24"/>
      <w:szCs w:val="24"/>
    </w:rPr>
  </w:style>
  <w:style w:customStyle="1" w:styleId="Author" w:type="paragraph">
    <w:name w:val="Author"/>
    <w:next w:val="BodyText"/>
    <w:qFormat/>
    <w:pPr>
      <w:keepNext/>
      <w:keepLines/>
      <w:jc w:val="center"/>
    </w:pPr>
    <w:rPr>
      <w:rFonts w:ascii="Times New Roman" w:hAnsi="Times New Roman" w:cs="Times New Roman" w:eastAsia="Times New Roman"/>
      <w:color w:val="000000"/>
      <w:sz w:val="24"/>
      <w:szCs w:val="24"/>
    </w:rPr>
  </w:style>
  <w:style w:styleId="Date" w:type="paragraph">
    <w:name w:val="Date"/>
    <w:next w:val="BodyText"/>
    <w:qFormat/>
    <w:pPr>
      <w:keepNext/>
      <w:keepLines/>
      <w:jc w:val="center"/>
    </w:pPr>
    <w:rPr>
      <w:rFonts w:ascii="Times New Roman" w:hAnsi="Times New Roman" w:cs="Times New Roman" w:eastAsia="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color w:val="000000"/>
      <w:sz w:val="24"/>
      <w:szCs w:val="24"/>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4"/>
      <w:szCs w:val="24"/>
    </w:rPr>
  </w:style>
  <w:style w:styleId="Bibliography" w:type="paragraph">
    <w:name w:val="Bibliography"/>
    <w:basedOn w:val="Normal"/>
    <w:next w:val="Bibliography"/>
    <w:qFormat/>
    <w:pPr/>
    <w:rPr>
      <w:rFonts w:ascii="Times New Roman" w:hAnsi="Times New Roman" w:cs="Times New Roman" w:eastAsia="Times New Roman"/>
      <w:color w:val="000000"/>
      <w:sz w:val="24"/>
      <w:szCs w:val="24"/>
    </w:rPr>
  </w:style>
  <w:style w:styleId="Heading1" w:type="paragraph">
    <w:name w:val="Heading 1"/>
    <w:basedOn w:val="Normal"/>
    <w:next w:val="BodyText"/>
    <w:uiPriority w:val="9"/>
    <w:qFormat/>
    <w:pPr>
      <w:keepNext/>
      <w:keepLines/>
      <w:spacing w:before="240" w:after="120" w:line="360" w:lineRule="auto"/>
      <w:jc w:val="left"/>
      <w:outlineLvl w:val="0"/>
    </w:pPr>
    <w:rPr>
      <w:rFonts w:ascii="Times New Roman" w:hAnsi="Times New Roman" w:cs="Times New Roman" w:eastAsia="Times New Roman"/>
      <w:b/>
      <w:bCs/>
      <w:i w:val="0"/>
      <w:iCs w:val="0"/>
      <w:color w:val="000000"/>
      <w:sz w:val="24"/>
      <w:szCs w:val="24"/>
    </w:rPr>
  </w:style>
  <w:style w:styleId="Heading2" w:type="paragraph">
    <w:name w:val="Heading 2"/>
    <w:basedOn w:val="Normal"/>
    <w:next w:val="BodyText"/>
    <w:uiPriority w:val="9"/>
    <w:unhideWhenUsed/>
    <w:qFormat/>
    <w:pPr>
      <w:keepNext/>
      <w:keepLines/>
      <w:spacing w:before="180" w:after="120" w:line="360" w:lineRule="auto"/>
      <w:jc w:val="left"/>
      <w:outlineLvl w:val="1"/>
    </w:pPr>
    <w:rPr>
      <w:rFonts w:ascii="Times New Roman" w:hAnsi="Times New Roman" w:cs="Times New Roman" w:eastAsia="Times New Roman"/>
      <w:b/>
      <w:bCs/>
      <w:i/>
      <w:iCs/>
      <w:color w:val="000000"/>
      <w:sz w:val="24"/>
      <w:szCs w:val="24"/>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sz w:val="24"/>
      <w:szCs w:val="24"/>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sz w:val="24"/>
      <w:szCs w:val="24"/>
    </w:rPr>
  </w:style>
  <w:style w:default="1" w:styleId="DefaultParagraphFont" w:type="character">
    <w:name w:val="Default Paragraph Font"/>
    <w:semiHidden/>
    <w:unhideWhenUsed/>
    <w:rPr>
      <w:rFonts w:ascii="Times New Roman" w:hAnsi="Times New Roman" w:cs="Times New Roman" w:eastAsia="Times New Roman"/>
      <w:color w:val="000000"/>
      <w:sz w:val="24"/>
      <w:szCs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color w:val="000000"/>
      <w:sz w:val="24"/>
      <w:szCs w:val="24"/>
    </w:rPr>
  </w:style>
  <w:style w:customStyle="1" w:styleId="Definition" w:type="paragraph">
    <w:name w:val="Definition"/>
    <w:basedOn w:val="Normal"/>
    <w:rPr>
      <w:rFonts w:ascii="Times New Roman" w:hAnsi="Times New Roman" w:cs="Times New Roman" w:eastAsia="Times New Roman"/>
      <w:color w:val="000000"/>
      <w:sz w:val="24"/>
      <w:szCs w:val="24"/>
    </w:rPr>
  </w:style>
  <w:style w:styleId="Caption" w:type="paragraph">
    <w:name w:val="Caption"/>
    <w:basedOn w:val="Normal"/>
    <w:link w:val="BodyTextChar"/>
    <w:pPr>
      <w:spacing w:before="0" w:after="240" w:line="360" w:lineRule="auto"/>
      <w:jc w:val="both"/>
    </w:pPr>
    <w:rPr>
      <w:rFonts w:ascii="Times New Roman" w:hAnsi="Times New Roman" w:cs="Times New Roman" w:eastAsia="Times New Roman"/>
      <w:i w:val="0"/>
      <w:iCs w:val="0"/>
      <w:color w:val="000000"/>
      <w:sz w:val="24"/>
      <w:szCs w:val="24"/>
    </w:rPr>
  </w:style>
  <w:style w:customStyle="1" w:styleId="TableCaption" w:type="paragraph">
    <w:name w:val="Table Caption"/>
    <w:basedOn w:val="Caption"/>
    <w:pPr>
      <w:keepNext/>
    </w:pPr>
    <w:rPr>
      <w:rFonts w:ascii="Times New Roman" w:hAnsi="Times New Roman" w:cs="Times New Roman" w:eastAsia="Times New Roman"/>
      <w:color w:val="000000"/>
      <w:sz w:val="24"/>
      <w:szCs w:val="24"/>
    </w:rPr>
  </w:style>
  <w:style w:customStyle="1" w:styleId="ImageCaption" w:type="paragraph">
    <w:name w:val="Image Caption"/>
    <w:basedOn w:val="Caption"/>
    <w:pPr>
      <w:spacing w:before="0" w:after="240" w:line="360" w:lineRule="auto"/>
      <w:jc w:val="both"/>
    </w:pPr>
    <w:rPr>
      <w:rFonts w:ascii="Times New Roman" w:hAnsi="Times New Roman" w:cs="Times New Roman" w:eastAsia="Times New Roman"/>
      <w:i w:val="0"/>
      <w:iCs w:val="0"/>
      <w:color w:val="000000"/>
      <w:sz w:val="24"/>
      <w:szCs w:val="24"/>
    </w:rPr>
  </w:style>
  <w:style w:customStyle="1" w:styleId="Figure" w:type="paragraph">
    <w:name w:val="Figure"/>
    <w:basedOn w:val="Normal"/>
    <w:pPr>
      <w:spacing w:before="0" w:after="120" w:line="360" w:lineRule="auto"/>
      <w:jc w:val="center"/>
    </w:pPr>
    <w:rPr>
      <w:rFonts w:ascii="Times New Roman" w:hAnsi="Times New Roman" w:cs="Times New Roman" w:eastAsia="Times New Roman"/>
      <w:color w:val="000000"/>
      <w:sz w:val="24"/>
      <w:szCs w:val="24"/>
    </w:rPr>
  </w:style>
  <w:style w:customStyle="1" w:styleId="CaptionedFigure" w:type="paragraph">
    <w:name w:val="Captioned Figure"/>
    <w:basedOn w:val="Figure"/>
    <w:pPr>
      <w:keepNext/>
      <w:spacing w:before="120" w:after="0" w:line="360" w:lineRule="auto"/>
      <w:jc w:val="center"/>
    </w:pPr>
    <w:rPr>
      <w:rFonts w:ascii="Times New Roman" w:hAnsi="Times New Roman" w:cs="Times New Roman" w:eastAsia="Times New Roman"/>
      <w:color w:val="000000"/>
      <w:sz w:val="24"/>
      <w:szCs w:val="24"/>
    </w:rPr>
  </w:style>
  <w:style w:customStyle="1" w:styleId="BodyTextChar" w:type="character">
    <w:name w:val="Body Text Char"/>
    <w:basedOn w:val="DefaultParagraphFont"/>
    <w:link w:val="BodyText"/>
    <w:rPr>
      <w:rFonts w:ascii="Times New Roman" w:hAnsi="Times New Roman" w:cs="Times New Roman" w:eastAsia="Times New Roman"/>
      <w:color w:val="000000"/>
      <w:sz w:val="24"/>
      <w:szCs w:val="24"/>
    </w:rPr>
  </w:style>
  <w:style w:customStyle="1" w:styleId="VerbatimChar" w:type="character">
    <w:name w:val="Verbatim Char"/>
    <w:basedOn w:val="BodyTextChar"/>
    <w:rPr>
      <w:rFonts w:ascii="Times New Roman" w:hAnsi="Times New Roman" w:cs="Times New Roman" w:eastAsia="Times New Roman"/>
      <w:color w:val="000000"/>
      <w:sz w:val="24"/>
      <w:szCs w:val="24"/>
    </w:rPr>
  </w:style>
  <w:style w:customStyle="1" w:styleId="SectionNumber" w:type="character">
    <w:name w:val="Section Number"/>
    <w:basedOn w:val="BodyTextChar"/>
    <w:rPr>
      <w:rFonts w:ascii="Times New Roman" w:hAnsi="Times New Roman" w:cs="Times New Roman" w:eastAsia="Times New Roman"/>
      <w:color w:val="000000"/>
      <w:sz w:val="24"/>
      <w:szCs w:val="24"/>
    </w:rPr>
  </w:style>
  <w:style w:styleId="FootnoteReference" w:type="character">
    <w:name w:val="Footnote Reference"/>
    <w:basedOn w:val="BodyTextChar"/>
    <w:rPr>
      <w:rFonts w:ascii="Times New Roman" w:hAnsi="Times New Roman" w:cs="Times New Roman" w:eastAsia="Times New Roman"/>
      <w:color w:val="000000"/>
      <w:sz w:val="24"/>
      <w:szCs w:val="24"/>
      <w:vertAlign w:val="superscript"/>
    </w:rPr>
  </w:style>
  <w:style w:styleId="Hyperlink" w:type="character">
    <w:name w:val="Hyperlink"/>
    <w:basedOn w:val="BodyTextChar"/>
    <w:rPr>
      <w:rFonts w:ascii="Times New Roman" w:hAnsi="Times New Roman" w:cs="Times New Roman" w:eastAsia="Times New Roman"/>
      <w:color w:val="000000"/>
      <w:sz w:val="24"/>
      <w:szCs w:val="24"/>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color w:val="000000"/>
      <w:sz w:val="24"/>
      <w:szCs w:val="24"/>
    </w:rPr>
  </w:style>
  <w:style w:type="paragraph" w:customStyle="1" w:styleId="AbstractHead">
    <w:name w:val="AbstractHead"/>
    <w:basedOn w:val="BodyText"/>
    <w:qFormat/>
    <w:pPr>
      <w:keepNext/>
      <w:suppressAutoHyphens/>
      <w:spacing w:before="240" w:after="60" w:line="360" w:lineRule="auto"/>
      <w:jc w:val="center"/>
    </w:pPr>
    <w:rPr>
      <w:rFonts w:ascii="Times New Roman" w:hAnsi="Times New Roman" w:cs="Times New Roman" w:eastAsia="Times New Roman"/>
      <w:b/>
      <w:bCs/>
      <w:color w:val="000000"/>
      <w:sz w:val="24"/>
      <w:szCs w:val="24"/>
    </w:rPr>
  </w:style>
  <w:style w:type="paragraph" w:customStyle="1" w:styleId="AbstractText">
    <w:name w:val="AbstractText"/>
    <w:basedOn w:val="BodyText"/>
    <w:qFormat/>
    <w:pPr>
      <w:spacing w:before="0" w:after="120" w:line="360" w:lineRule="auto"/>
      <w:jc w:val="both"/>
    </w:pPr>
    <w:rPr>
      <w:rFonts w:ascii="Times New Roman" w:hAnsi="Times New Roman" w:cs="Times New Roman" w:eastAsia="Times New Roman"/>
      <w:color w:val="000000"/>
      <w:sz w:val="24"/>
      <w:szCs w:val="24"/>
    </w:rPr>
  </w:style>
  <w:style w:type="paragraph" w:customStyle="1" w:styleId="AuthorAffil">
    <w:name w:val="AuthorAffil"/>
    <w:basedOn w:val="BodyText"/>
    <w:qFormat/>
    <w:pPr>
      <w:suppressAutoHyphens/>
      <w:spacing w:before="0" w:after="60" w:line="360" w:lineRule="auto"/>
      <w:jc w:val="center"/>
    </w:pPr>
    <w:rPr>
      <w:rFonts w:ascii="Times New Roman" w:hAnsi="Times New Roman" w:cs="Times New Roman" w:eastAsia="Times New Roman"/>
      <w:b/>
      <w:bCs/>
      <w:color w:val="000000"/>
      <w:sz w:val="24"/>
      <w:szCs w:val="24"/>
    </w:rPr>
  </w:style>
  <w:style w:type="paragraph" w:customStyle="1" w:styleId="AuthorNames">
    <w:name w:val="AuthorNames"/>
    <w:basedOn w:val="BodyText"/>
    <w:qFormat/>
    <w:pPr>
      <w:suppressAutoHyphens/>
      <w:spacing w:before="0" w:after="120" w:line="360" w:lineRule="auto"/>
      <w:jc w:val="center"/>
    </w:pPr>
    <w:rPr>
      <w:rFonts w:ascii="Times New Roman" w:hAnsi="Times New Roman" w:cs="Times New Roman" w:eastAsia="Times New Roman"/>
      <w:b/>
      <w:bCs/>
      <w:color w:val="000000"/>
      <w:sz w:val="24"/>
      <w:szCs w:val="24"/>
    </w:rPr>
  </w:style>
  <w:style w:type="paragraph" w:customStyle="1" w:styleId="CriteriaItem">
    <w:name w:val="CriteriaItem"/>
    <w:basedOn w:val="BodyText"/>
    <w:qFormat/>
    <w:pPr>
      <w:spacing w:before="0" w:after="120" w:line="360" w:lineRule="auto"/>
      <w:ind w:left="360" w:hanging="360"/>
      <w:jc w:val="both"/>
    </w:pPr>
    <w:rPr>
      <w:rFonts w:ascii="Times New Roman" w:hAnsi="Times New Roman" w:cs="Times New Roman" w:eastAsia="Times New Roman"/>
      <w:color w:val="000000"/>
      <w:sz w:val="24"/>
      <w:szCs w:val="24"/>
    </w:rPr>
  </w:style>
  <w:style w:type="paragraph" w:customStyle="1" w:styleId="Keywords">
    <w:name w:val="Keywords"/>
    <w:basedOn w:val="BodyText"/>
    <w:qFormat/>
    <w:pPr>
      <w:suppressAutoHyphens/>
      <w:spacing w:before="0" w:after="240" w:line="360" w:lineRule="auto"/>
      <w:jc w:val="left"/>
    </w:pPr>
    <w:rPr>
      <w:rFonts w:ascii="Times New Roman" w:hAnsi="Times New Roman" w:cs="Times New Roman" w:eastAsia="Times New Roman"/>
      <w:color w:val="000000"/>
      <w:sz w:val="24"/>
      <w:szCs w:val="24"/>
    </w:rPr>
  </w:style>
  <w:style w:type="paragraph" w:customStyle="1" w:styleId="PaperTitle">
    <w:name w:val="PaperTitle"/>
    <w:basedOn w:val="BodyText"/>
    <w:qFormat/>
    <w:pPr>
      <w:suppressAutoHyphens/>
      <w:spacing w:before="0" w:after="240" w:line="360" w:lineRule="auto"/>
      <w:jc w:val="center"/>
    </w:pPr>
    <w:rPr>
      <w:rFonts w:ascii="Times New Roman" w:hAnsi="Times New Roman" w:cs="Times New Roman" w:eastAsia="Times New Roman"/>
      <w:b/>
      <w:bCs/>
      <w:color w:val="000000"/>
      <w:sz w:val="28"/>
      <w:szCs w:val="28"/>
    </w:rPr>
  </w:style>
  <w:style w:type="paragraph" w:customStyle="1" w:styleId="RefEntry">
    <w:name w:val="RefEntry"/>
    <w:basedOn w:val="BodyText"/>
    <w:qFormat/>
    <w:pPr>
      <w:suppressAutoHyphens/>
      <w:spacing w:before="0" w:after="60" w:line="360" w:lineRule="auto"/>
      <w:ind w:left="360" w:hanging="360"/>
      <w:jc w:val="left"/>
    </w:pPr>
    <w:rPr>
      <w:rFonts w:ascii="Times New Roman" w:hAnsi="Times New Roman" w:cs="Times New Roman" w:eastAsia="Times New Roman"/>
      <w:color w:val="000000"/>
      <w:sz w:val="24"/>
      <w:szCs w:val="24"/>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sz w:val="24"/>
      <w:szCs w:val="24"/>
    </w:rPr>
  </w:style>
  <w:style w:type="character" w:customStyle="1" w:styleId="KeywordTok">
    <w:name w:val="KeywordTok"/>
    <w:basedOn w:val="VerbatimChar"/>
    <w:rPr>
      <w:rFonts w:ascii="Times New Roman" w:hAnsi="Times New Roman" w:cs="Times New Roman" w:eastAsia="Times New Roman"/>
      <w:color w:val="000000"/>
      <w:sz w:val="24"/>
      <w:szCs w:val="24"/>
    </w:rPr>
  </w:style>
  <w:style w:type="character" w:customStyle="1" w:styleId="DataTypeTok">
    <w:name w:val="DataTypeTok"/>
    <w:basedOn w:val="VerbatimChar"/>
    <w:rPr>
      <w:rFonts w:ascii="Times New Roman" w:hAnsi="Times New Roman" w:cs="Times New Roman" w:eastAsia="Times New Roman"/>
      <w:color w:val="000000"/>
      <w:sz w:val="24"/>
      <w:szCs w:val="24"/>
    </w:rPr>
  </w:style>
  <w:style w:type="character" w:customStyle="1" w:styleId="DecValTok">
    <w:name w:val="DecValTok"/>
    <w:basedOn w:val="VerbatimChar"/>
    <w:rPr>
      <w:rFonts w:ascii="Times New Roman" w:hAnsi="Times New Roman" w:cs="Times New Roman" w:eastAsia="Times New Roman"/>
      <w:color w:val="000000"/>
      <w:sz w:val="24"/>
      <w:szCs w:val="24"/>
    </w:rPr>
  </w:style>
  <w:style w:type="character" w:customStyle="1" w:styleId="BaseNTok">
    <w:name w:val="BaseNTok"/>
    <w:basedOn w:val="VerbatimChar"/>
    <w:rPr>
      <w:rFonts w:ascii="Times New Roman" w:hAnsi="Times New Roman" w:cs="Times New Roman" w:eastAsia="Times New Roman"/>
      <w:color w:val="000000"/>
      <w:sz w:val="24"/>
      <w:szCs w:val="24"/>
    </w:rPr>
  </w:style>
  <w:style w:type="character" w:customStyle="1" w:styleId="FloatTok">
    <w:name w:val="FloatTok"/>
    <w:basedOn w:val="VerbatimChar"/>
    <w:rPr>
      <w:rFonts w:ascii="Times New Roman" w:hAnsi="Times New Roman" w:cs="Times New Roman" w:eastAsia="Times New Roman"/>
      <w:color w:val="000000"/>
      <w:sz w:val="24"/>
      <w:szCs w:val="24"/>
    </w:rPr>
  </w:style>
  <w:style w:type="character" w:customStyle="1" w:styleId="ConstantTok">
    <w:name w:val="ConstantTok"/>
    <w:basedOn w:val="VerbatimChar"/>
    <w:rPr>
      <w:rFonts w:ascii="Times New Roman" w:hAnsi="Times New Roman" w:cs="Times New Roman" w:eastAsia="Times New Roman"/>
      <w:color w:val="000000"/>
      <w:sz w:val="24"/>
      <w:szCs w:val="24"/>
    </w:rPr>
  </w:style>
  <w:style w:type="character" w:customStyle="1" w:styleId="CharTok">
    <w:name w:val="CharTok"/>
    <w:basedOn w:val="VerbatimChar"/>
    <w:rPr>
      <w:rFonts w:ascii="Times New Roman" w:hAnsi="Times New Roman" w:cs="Times New Roman" w:eastAsia="Times New Roman"/>
      <w:color w:val="000000"/>
      <w:sz w:val="24"/>
      <w:szCs w:val="24"/>
    </w:rPr>
  </w:style>
  <w:style w:type="character" w:customStyle="1" w:styleId="SpecialCharTok">
    <w:name w:val="SpecialCharTok"/>
    <w:basedOn w:val="VerbatimChar"/>
    <w:rPr>
      <w:rFonts w:ascii="Times New Roman" w:hAnsi="Times New Roman" w:cs="Times New Roman" w:eastAsia="Times New Roman"/>
      <w:color w:val="000000"/>
      <w:sz w:val="24"/>
      <w:szCs w:val="24"/>
    </w:rPr>
  </w:style>
  <w:style w:type="character" w:customStyle="1" w:styleId="StringTok">
    <w:name w:val="StringTok"/>
    <w:basedOn w:val="VerbatimChar"/>
    <w:rPr>
      <w:rFonts w:ascii="Times New Roman" w:hAnsi="Times New Roman" w:cs="Times New Roman" w:eastAsia="Times New Roman"/>
      <w:color w:val="000000"/>
      <w:sz w:val="24"/>
      <w:szCs w:val="24"/>
    </w:rPr>
  </w:style>
  <w:style w:type="character" w:customStyle="1" w:styleId="VerbatimStringTok">
    <w:name w:val="VerbatimStringTok"/>
    <w:basedOn w:val="VerbatimChar"/>
    <w:rPr>
      <w:rFonts w:ascii="Times New Roman" w:hAnsi="Times New Roman" w:cs="Times New Roman" w:eastAsia="Times New Roman"/>
      <w:color w:val="000000"/>
      <w:sz w:val="24"/>
      <w:szCs w:val="24"/>
    </w:rPr>
  </w:style>
  <w:style w:type="character" w:customStyle="1" w:styleId="SpecialStringTok">
    <w:name w:val="SpecialStringTok"/>
    <w:basedOn w:val="VerbatimChar"/>
    <w:rPr>
      <w:rFonts w:ascii="Times New Roman" w:hAnsi="Times New Roman" w:cs="Times New Roman" w:eastAsia="Times New Roman"/>
      <w:color w:val="000000"/>
      <w:sz w:val="24"/>
      <w:szCs w:val="24"/>
    </w:rPr>
  </w:style>
  <w:style w:type="character" w:customStyle="1" w:styleId="ImportTok">
    <w:name w:val="ImportTok"/>
    <w:basedOn w:val="VerbatimChar"/>
    <w:rPr>
      <w:rFonts w:ascii="Times New Roman" w:hAnsi="Times New Roman" w:cs="Times New Roman" w:eastAsia="Times New Roman"/>
      <w:color w:val="000000"/>
      <w:sz w:val="24"/>
      <w:szCs w:val="24"/>
    </w:rPr>
  </w:style>
  <w:style w:type="character" w:customStyle="1" w:styleId="CommentTok">
    <w:name w:val="CommentTok"/>
    <w:basedOn w:val="VerbatimChar"/>
    <w:rPr>
      <w:rFonts w:ascii="Times New Roman" w:hAnsi="Times New Roman" w:cs="Times New Roman" w:eastAsia="Times New Roman"/>
      <w:color w:val="000000"/>
      <w:sz w:val="24"/>
      <w:szCs w:val="24"/>
    </w:rPr>
  </w:style>
  <w:style w:type="character" w:customStyle="1" w:styleId="DocumentationTok">
    <w:name w:val="DocumentationTok"/>
    <w:basedOn w:val="VerbatimChar"/>
    <w:rPr>
      <w:rFonts w:ascii="Times New Roman" w:hAnsi="Times New Roman" w:cs="Times New Roman" w:eastAsia="Times New Roman"/>
      <w:color w:val="000000"/>
      <w:sz w:val="24"/>
      <w:szCs w:val="24"/>
    </w:rPr>
  </w:style>
  <w:style w:type="character" w:customStyle="1" w:styleId="AnnotationTok">
    <w:name w:val="AnnotationTok"/>
    <w:basedOn w:val="VerbatimChar"/>
    <w:rPr>
      <w:rFonts w:ascii="Times New Roman" w:hAnsi="Times New Roman" w:cs="Times New Roman" w:eastAsia="Times New Roman"/>
      <w:color w:val="000000"/>
      <w:sz w:val="24"/>
      <w:szCs w:val="24"/>
    </w:rPr>
  </w:style>
  <w:style w:type="character" w:customStyle="1" w:styleId="CommentVarTok">
    <w:name w:val="CommentVarTok"/>
    <w:basedOn w:val="VerbatimChar"/>
    <w:rPr>
      <w:rFonts w:ascii="Times New Roman" w:hAnsi="Times New Roman" w:cs="Times New Roman" w:eastAsia="Times New Roman"/>
      <w:color w:val="000000"/>
      <w:sz w:val="24"/>
      <w:szCs w:val="24"/>
    </w:rPr>
  </w:style>
  <w:style w:type="character" w:customStyle="1" w:styleId="OtherTok">
    <w:name w:val="OtherTok"/>
    <w:basedOn w:val="VerbatimChar"/>
    <w:rPr>
      <w:rFonts w:ascii="Times New Roman" w:hAnsi="Times New Roman" w:cs="Times New Roman" w:eastAsia="Times New Roman"/>
      <w:color w:val="000000"/>
      <w:sz w:val="24"/>
      <w:szCs w:val="24"/>
    </w:rPr>
  </w:style>
  <w:style w:type="character" w:customStyle="1" w:styleId="FunctionTok">
    <w:name w:val="FunctionTok"/>
    <w:basedOn w:val="VerbatimChar"/>
    <w:rPr>
      <w:rFonts w:ascii="Times New Roman" w:hAnsi="Times New Roman" w:cs="Times New Roman" w:eastAsia="Times New Roman"/>
      <w:color w:val="000000"/>
      <w:sz w:val="24"/>
      <w:szCs w:val="24"/>
    </w:rPr>
  </w:style>
  <w:style w:type="character" w:customStyle="1" w:styleId="VariableTok">
    <w:name w:val="VariableTok"/>
    <w:basedOn w:val="VerbatimChar"/>
    <w:rPr>
      <w:rFonts w:ascii="Times New Roman" w:hAnsi="Times New Roman" w:cs="Times New Roman" w:eastAsia="Times New Roman"/>
      <w:color w:val="000000"/>
      <w:sz w:val="24"/>
      <w:szCs w:val="24"/>
    </w:rPr>
  </w:style>
  <w:style w:type="character" w:customStyle="1" w:styleId="ControlFlowTok">
    <w:name w:val="ControlFlowTok"/>
    <w:basedOn w:val="VerbatimChar"/>
    <w:rPr>
      <w:rFonts w:ascii="Times New Roman" w:hAnsi="Times New Roman" w:cs="Times New Roman" w:eastAsia="Times New Roman"/>
      <w:color w:val="000000"/>
      <w:sz w:val="24"/>
      <w:szCs w:val="24"/>
    </w:rPr>
  </w:style>
  <w:style w:type="character" w:customStyle="1" w:styleId="OperatorTok">
    <w:name w:val="OperatorTok"/>
    <w:basedOn w:val="VerbatimChar"/>
    <w:rPr>
      <w:rFonts w:ascii="Times New Roman" w:hAnsi="Times New Roman" w:cs="Times New Roman" w:eastAsia="Times New Roman"/>
      <w:color w:val="000000"/>
      <w:sz w:val="24"/>
      <w:szCs w:val="24"/>
    </w:rPr>
  </w:style>
  <w:style w:type="character" w:customStyle="1" w:styleId="BuiltInTok">
    <w:name w:val="BuiltInTok"/>
    <w:basedOn w:val="VerbatimChar"/>
    <w:rPr>
      <w:rFonts w:ascii="Times New Roman" w:hAnsi="Times New Roman" w:cs="Times New Roman" w:eastAsia="Times New Roman"/>
      <w:color w:val="000000"/>
      <w:sz w:val="24"/>
      <w:szCs w:val="24"/>
    </w:rPr>
  </w:style>
  <w:style w:type="character" w:customStyle="1" w:styleId="ExtensionTok">
    <w:name w:val="ExtensionTok"/>
    <w:basedOn w:val="VerbatimChar"/>
    <w:rPr>
      <w:rFonts w:ascii="Times New Roman" w:hAnsi="Times New Roman" w:cs="Times New Roman" w:eastAsia="Times New Roman"/>
      <w:color w:val="000000"/>
      <w:sz w:val="24"/>
      <w:szCs w:val="24"/>
    </w:rPr>
  </w:style>
  <w:style w:type="character" w:customStyle="1" w:styleId="PreprocessorTok">
    <w:name w:val="PreprocessorTok"/>
    <w:basedOn w:val="VerbatimChar"/>
    <w:rPr>
      <w:rFonts w:ascii="Times New Roman" w:hAnsi="Times New Roman" w:cs="Times New Roman" w:eastAsia="Times New Roman"/>
      <w:color w:val="000000"/>
      <w:sz w:val="24"/>
      <w:szCs w:val="24"/>
    </w:rPr>
  </w:style>
  <w:style w:type="character" w:customStyle="1" w:styleId="AttributeTok">
    <w:name w:val="AttributeTok"/>
    <w:basedOn w:val="VerbatimChar"/>
    <w:rPr>
      <w:rFonts w:ascii="Times New Roman" w:hAnsi="Times New Roman" w:cs="Times New Roman" w:eastAsia="Times New Roman"/>
      <w:color w:val="000000"/>
      <w:sz w:val="24"/>
      <w:szCs w:val="24"/>
    </w:rPr>
  </w:style>
  <w:style w:type="character" w:customStyle="1" w:styleId="RegionMarkerTok">
    <w:name w:val="RegionMarkerTok"/>
    <w:basedOn w:val="VerbatimChar"/>
    <w:rPr>
      <w:rFonts w:ascii="Times New Roman" w:hAnsi="Times New Roman" w:cs="Times New Roman" w:eastAsia="Times New Roman"/>
      <w:color w:val="000000"/>
      <w:sz w:val="24"/>
      <w:szCs w:val="24"/>
    </w:rPr>
  </w:style>
  <w:style w:type="character" w:customStyle="1" w:styleId="InformationTok">
    <w:name w:val="InformationTok"/>
    <w:basedOn w:val="VerbatimChar"/>
    <w:rPr>
      <w:rFonts w:ascii="Times New Roman" w:hAnsi="Times New Roman" w:cs="Times New Roman" w:eastAsia="Times New Roman"/>
      <w:color w:val="000000"/>
      <w:sz w:val="24"/>
      <w:szCs w:val="24"/>
    </w:rPr>
  </w:style>
  <w:style w:type="character" w:customStyle="1" w:styleId="WarningTok">
    <w:name w:val="WarningTok"/>
    <w:basedOn w:val="VerbatimChar"/>
    <w:rPr>
      <w:rFonts w:ascii="Times New Roman" w:hAnsi="Times New Roman" w:cs="Times New Roman" w:eastAsia="Times New Roman"/>
      <w:color w:val="000000"/>
      <w:sz w:val="24"/>
      <w:szCs w:val="24"/>
    </w:rPr>
  </w:style>
  <w:style w:type="character" w:customStyle="1" w:styleId="AlertTok">
    <w:name w:val="AlertTok"/>
    <w:basedOn w:val="VerbatimChar"/>
    <w:rPr>
      <w:rFonts w:ascii="Times New Roman" w:hAnsi="Times New Roman" w:cs="Times New Roman" w:eastAsia="Times New Roman"/>
      <w:color w:val="000000"/>
      <w:sz w:val="24"/>
      <w:szCs w:val="24"/>
    </w:rPr>
  </w:style>
  <w:style w:type="character" w:customStyle="1" w:styleId="ErrorTok">
    <w:name w:val="ErrorTok"/>
    <w:basedOn w:val="VerbatimChar"/>
    <w:rPr>
      <w:rFonts w:ascii="Times New Roman" w:hAnsi="Times New Roman" w:cs="Times New Roman" w:eastAsia="Times New Roman"/>
      <w:color w:val="000000"/>
      <w:sz w:val="24"/>
      <w:szCs w:val="24"/>
    </w:rPr>
  </w:style>
  <w:style w:type="character" w:customStyle="1" w:styleId="NormalTok">
    <w:name w:val="NormalTok"/>
    <w:basedOn w:val="VerbatimChar"/>
    <w:rPr>
      <w:rFonts w:ascii="Times New Roman" w:hAnsi="Times New Roman" w:cs="Times New Roman" w:eastAsia="Times New Roman"/>
      <w:color w:val="000000"/>
      <w:sz w:val="24"/>
      <w:szCs w:val="24"/>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2026-10-27T06:30:18Z</dcterms:created>
  <dcterms:modified xsi:type="dcterms:W3CDTF">2026-10-27T06:30:18Z</dcterms:modified>
</cp:coreProperties>
</file>

<file path=docProps/custom.xml><?xml version="1.0" encoding="utf-8"?>
<Properties xmlns="http://schemas.openxmlformats.org/officeDocument/2006/custom-properties" xmlns:vt="http://schemas.openxmlformats.org/officeDocument/2006/docPropsVTypes"/>
</file>