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View signed agreement (Privy)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Reviewers cannot view the signed agreement: their work ends at the eligibility assessment, and the agreement contains personal and commercial data they do not need.</w:t>
      </w: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Tidied up my pain points, feature list, and funnel into a clear structure</w:t>
            </w:r>
          </w:p>
        </w:tc>
        <w:tc>
          <w:tcPr>
            <w:tcW w:type="dxa" w:w="3249"/>
          </w:tcPr>
          <w:p>
            <w:pPr>
              <w:spacing w:after="0"/>
              <w:jc w:val="left"/>
            </w:pPr>
            <w:r/>
            <w:r>
              <w:rPr>
                <w:rFonts w:ascii="Arial" w:hAnsi="Arial" w:cs="Arial" w:eastAsia="Arial"/>
                <w:b w:val="0"/>
                <w:color w:val="000000"/>
                <w:sz w:val="22"/>
              </w:rPr>
              <w:t>Defined the pain points, features, and funnel, designed the business process (stages, PIC, deadlines, and approval rules), and pointed out the special cases the flow must handle (for example, duplicate leads, leads outside any sales region, and location changes during negotiation)</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