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color w:val="000000"/>
          <w:sz w:val="22"/>
        </w:rPr>
        <w:t>Kopi Koma Partner Portal: Product Requirements Document</w:t>
      </w:r>
    </w:p>
    <w:p>
      <w:pPr>
        <w:pStyle w:val="Heading1"/>
      </w:pPr>
      <w:r>
        <w:rPr>
          <w:rFonts w:ascii="Arial" w:hAnsi="Arial" w:cs="Arial" w:eastAsia="Arial"/>
          <w:b/>
          <w:color w:val="000000"/>
          <w:sz w:val="22"/>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How to Try the Prototype</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2"/>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2"/>
        </w:rPr>
        <w:t>How to Try the Prototype</w:t>
      </w:r>
    </w:p>
    <w:p>
      <w:pPr>
        <w:jc w:val="both"/>
      </w:pPr>
      <w:r>
        <w:rPr>
          <w:rFonts w:ascii="Arial" w:hAnsi="Arial" w:cs="Arial" w:eastAsia="Arial"/>
          <w:b w:val="0"/>
          <w:color w:val="000000"/>
          <w:sz w:val="22"/>
        </w:rPr>
        <w:t>A 5-minute path through the core flow. Open both links in the same browser so the two apps share data.</w:t>
      </w:r>
    </w:p>
    <w:p>
      <w:pPr>
        <w:pStyle w:val="ListNumber"/>
        <w:jc w:val="left"/>
      </w:pPr>
      <w:r>
        <w:rPr>
          <w:rFonts w:ascii="Arial" w:hAnsi="Arial" w:cs="Arial" w:eastAsia="Arial"/>
          <w:b w:val="0"/>
          <w:color w:val="000000"/>
          <w:sz w:val="22"/>
        </w:rPr>
        <w:t>Open the Partner Portal (/mitra), click "Isi data contoh", and submit. The lead is assigned automatically to Rendi (Tangerang region).</w:t>
      </w:r>
    </w:p>
    <w:p>
      <w:pPr>
        <w:pStyle w:val="ListNumber"/>
        <w:jc w:val="left"/>
      </w:pPr>
      <w:r>
        <w:rPr>
          <w:rFonts w:ascii="Arial" w:hAnsi="Arial" w:cs="Arial" w:eastAsia="Arial"/>
          <w:b w:val="0"/>
          <w:color w:val="000000"/>
          <w:sz w:val="22"/>
        </w:rPr>
        <w:t>Open the dashboard and log in as Rendi (Sales) from the demo account list. Process the business presentation and the location survey.</w:t>
      </w:r>
    </w:p>
    <w:p>
      <w:pPr>
        <w:pStyle w:val="ListNumber"/>
        <w:jc w:val="left"/>
      </w:pPr>
      <w:r>
        <w:rPr>
          <w:rFonts w:ascii="Arial" w:hAnsi="Arial" w:cs="Arial" w:eastAsia="Arial"/>
          <w:b w:val="0"/>
          <w:color w:val="000000"/>
          <w:sz w:val="22"/>
        </w:rPr>
        <w:t>Log in as Bima (Reviewer) and complete the eligibility assessment.</w:t>
      </w:r>
    </w:p>
    <w:p>
      <w:pPr>
        <w:pStyle w:val="ListNumber"/>
        <w:jc w:val="left"/>
      </w:pPr>
      <w:r>
        <w:rPr>
          <w:rFonts w:ascii="Arial" w:hAnsi="Arial" w:cs="Arial" w:eastAsia="Arial"/>
          <w:b w:val="0"/>
          <w:color w:val="000000"/>
          <w:sz w:val="22"/>
        </w:rPr>
        <w:t>Log in as Rendi again and send the quotation.</w:t>
      </w:r>
    </w:p>
    <w:p>
      <w:pPr>
        <w:pStyle w:val="ListNumber"/>
        <w:jc w:val="left"/>
      </w:pPr>
      <w:r>
        <w:rPr>
          <w:rFonts w:ascii="Arial" w:hAnsi="Arial" w:cs="Arial" w:eastAsia="Arial"/>
          <w:b w:val="0"/>
          <w:color w:val="000000"/>
          <w:sz w:val="22"/>
        </w:rPr>
        <w:t>Back in the Partner Portal, check the status with the application number and email, then agree to the quotation.</w:t>
      </w:r>
    </w:p>
    <w:p>
      <w:pPr>
        <w:pStyle w:val="ListNumber"/>
        <w:jc w:val="left"/>
      </w:pPr>
      <w:r>
        <w:rPr>
          <w:rFonts w:ascii="Arial" w:hAnsi="Arial" w:cs="Arial" w:eastAsia="Arial"/>
          <w:b w:val="0"/>
          <w:color w:val="000000"/>
          <w:sz w:val="22"/>
        </w:rPr>
        <w:t>Log in as Laras (Manager), give final approval, and sign the agreement. Open Pipeline, then Completed, to view the signed document.</w:t>
      </w:r>
    </w:p>
    <w:p>
      <w:pPr>
        <w:jc w:val="both"/>
      </w:pPr>
      <w:r>
        <w:rPr>
          <w:rFonts w:ascii="Arial" w:hAnsi="Arial" w:cs="Arial" w:eastAsia="Arial"/>
          <w:b w:val="0"/>
          <w:color w:val="000000"/>
          <w:sz w:val="22"/>
        </w:rPr>
        <w:t>Extra value (Should have): as Laras, open Target and Performa Sales.</w:t>
      </w:r>
    </w:p>
    <w:p>
      <w:pPr>
        <w:pStyle w:val="Heading1"/>
      </w:pPr>
      <w:r>
        <w:rPr>
          <w:rFonts w:ascii="Arial" w:hAnsi="Arial" w:cs="Arial" w:eastAsia="Arial"/>
          <w:b/>
          <w:color w:val="000000"/>
          <w:sz w:val="22"/>
        </w:rPr>
        <w:t>Assumptions</w:t>
      </w:r>
    </w:p>
    <w:p>
      <w:pPr>
        <w:pStyle w:val="Heading2"/>
      </w:pPr>
      <w:r>
        <w:rPr>
          <w:rFonts w:ascii="Arial" w:hAnsi="Arial" w:cs="Arial" w:eastAsia="Arial"/>
          <w:b/>
          <w:color w:val="000000"/>
          <w:sz w:val="22"/>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2"/>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2"/>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2"/>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2"/>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2"/>
        </w:rPr>
        <w:t>Diagram</w:t>
      </w:r>
    </w:p>
    <w:p>
      <w:pPr>
        <w:pStyle w:val="Heading2"/>
      </w:pPr>
      <w:r>
        <w:rPr>
          <w:rFonts w:ascii="Arial" w:hAnsi="Arial" w:cs="Arial" w:eastAsia="Arial"/>
          <w:b/>
          <w:color w:val="000000"/>
          <w:sz w:val="22"/>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2"/>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2"/>
        </w:rPr>
        <w:t>Solution</w:t>
      </w:r>
    </w:p>
    <w:p>
      <w:pPr>
        <w:pStyle w:val="Heading2"/>
      </w:pPr>
      <w:r>
        <w:rPr>
          <w:rFonts w:ascii="Arial" w:hAnsi="Arial" w:cs="Arial" w:eastAsia="Arial"/>
          <w:b/>
          <w:color w:val="000000"/>
          <w:sz w:val="22"/>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2"/>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2"/>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2"/>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2"/>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2"/>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2"/>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2"/>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Tidied up my pain points, feature list, and funnel into a clear structure</w:t>
            </w:r>
          </w:p>
        </w:tc>
        <w:tc>
          <w:tcPr>
            <w:tcW w:type="dxa" w:w="3249"/>
          </w:tcPr>
          <w:p>
            <w:pPr>
              <w:spacing w:after="0"/>
              <w:jc w:val="left"/>
            </w:pPr>
            <w:r/>
            <w:r>
              <w:rPr>
                <w:rFonts w:ascii="Arial" w:hAnsi="Arial" w:cs="Arial" w:eastAsia="Arial"/>
                <w:b w:val="0"/>
                <w:color w:val="000000"/>
                <w:sz w:val="22"/>
              </w:rPr>
              <w:t>Defined the pain points, features, and funnel, designed the business process (stages, PIC, deadlines, and approval rules), and pointed out the special cases the flow must handle (for example, duplicate leads, leads outside any sales region, and location changes during negotiation)</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2"/>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2"/>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