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everything after both parties approve (agreement signing, outlet opening, royalty). Signing through Privy is shown only as the next step.</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Privy next step shown. Candidate sees the result in the tracker.</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Privy next step is shown.</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Privy e-signature,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is not integrated.</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and flow</w:t>
            </w:r>
          </w:p>
        </w:tc>
        <w:tc>
          <w:tcPr>
            <w:tcW w:type="dxa" w:w="3249"/>
          </w:tcPr>
          <w:p>
            <w:pPr>
              <w:spacing w:after="0"/>
              <w:jc w:val="left"/>
            </w:pPr>
            <w:r/>
            <w:r>
              <w:rPr>
                <w:rFonts w:ascii="Arial" w:hAnsi="Arial" w:cs="Arial" w:eastAsia="Arial"/>
                <w:b w:val="0"/>
                <w:color w:val="000000"/>
                <w:sz w:val="22"/>
              </w:rPr>
              <w:t>Reviewed my pain points and flow, pointed out edge cases (for example, where a location change should go back to), and proposed options for business rules</w:t>
            </w:r>
          </w:p>
        </w:tc>
        <w:tc>
          <w:tcPr>
            <w:tcW w:type="dxa" w:w="3249"/>
          </w:tcPr>
          <w:p>
            <w:pPr>
              <w:spacing w:after="0"/>
              <w:jc w:val="left"/>
            </w:pPr>
            <w:r/>
            <w:r>
              <w:rPr>
                <w:rFonts w:ascii="Arial" w:hAnsi="Arial" w:cs="Arial" w:eastAsia="Arial"/>
                <w:b w:val="0"/>
                <w:color w:val="000000"/>
                <w:sz w:val="22"/>
              </w:rPr>
              <w:t>Defined the scope and pain points and designed the end-to-end flow, then decided which suggestions to accept</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through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industry and regulation data</w:t>
            </w:r>
          </w:p>
        </w:tc>
        <w:tc>
          <w:tcPr>
            <w:tcW w:type="dxa" w:w="3249"/>
          </w:tcPr>
          <w:p>
            <w:pPr>
              <w:spacing w:after="0"/>
              <w:jc w:val="left"/>
            </w:pPr>
            <w:r/>
            <w:r>
              <w:rPr>
                <w:rFonts w:ascii="Arial" w:hAnsi="Arial" w:cs="Arial" w:eastAsia="Arial"/>
                <w:b w:val="0"/>
                <w:color w:val="000000"/>
                <w:sz w:val="22"/>
              </w:rPr>
              <w:t>Verified sources, corrected an outdated statistic and replaced PP No. 42/2007 with PP No. 35/2024</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from the prototype</w:t>
            </w:r>
          </w:p>
        </w:tc>
        <w:tc>
          <w:tcPr>
            <w:tcW w:type="dxa" w:w="3249"/>
          </w:tcPr>
          <w:p>
            <w:pPr>
              <w:spacing w:after="0"/>
              <w:jc w:val="left"/>
            </w:pPr>
            <w:r/>
            <w:r>
              <w:rPr>
                <w:rFonts w:ascii="Arial" w:hAnsi="Arial" w:cs="Arial" w:eastAsia="Arial"/>
                <w:b w:val="0"/>
                <w:color w:val="000000"/>
                <w:sz w:val="22"/>
              </w:rPr>
              <w:t>Restructured and edited it</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[Attach screenshots or a PDF of the AI conversation here.]</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