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every lead that is not lost and every day cut from the process turns directly into more outlets and revenue, without adding more sales.</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Koma's growth equals the number of new partner outlets. The product supports growth through five levers: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Lever</w:t>
            </w:r>
          </w:p>
        </w:tc>
        <w:tc>
          <w:tcPr>
            <w:tcW w:type="dxa" w:w="2436"/>
            <w:shd w:val="clear" w:color="auto" w:fill="E7E2DA"/>
          </w:tcPr>
          <w:p>
            <w:pPr>
              <w:spacing w:after="0"/>
              <w:jc w:val="left"/>
            </w:pPr>
            <w:r/>
            <w:r>
              <w:rPr>
                <w:rFonts w:ascii="Arial" w:hAnsi="Arial" w:cs="Arial" w:eastAsia="Arial"/>
                <w:b/>
                <w:color w:val="000000"/>
                <w:sz w:val="22"/>
              </w:rPr>
              <w:t>How the product drives it</w:t>
            </w:r>
          </w:p>
        </w:tc>
        <w:tc>
          <w:tcPr>
            <w:tcW w:type="dxa" w:w="2436"/>
            <w:shd w:val="clear" w:color="auto" w:fill="E7E2DA"/>
          </w:tcPr>
          <w:p>
            <w:pPr>
              <w:spacing w:after="0"/>
              <w:jc w:val="left"/>
            </w:pPr>
            <w:r/>
            <w:r>
              <w:rPr>
                <w:rFonts w:ascii="Arial" w:hAnsi="Arial" w:cs="Arial" w:eastAsia="Arial"/>
                <w:b/>
                <w:color w:val="000000"/>
                <w:sz w:val="22"/>
              </w:rPr>
              <w:t>Growth effect</w:t>
            </w:r>
          </w:p>
        </w:tc>
        <w:tc>
          <w:tcPr>
            <w:tcW w:type="dxa" w:w="2436"/>
            <w:shd w:val="clear" w:color="auto" w:fill="E7E2DA"/>
          </w:tcPr>
          <w:p>
            <w:pPr>
              <w:spacing w:after="0"/>
              <w:jc w:val="left"/>
            </w:pPr>
            <w:r/>
            <w:r>
              <w:rPr>
                <w:rFonts w:ascii="Arial" w:hAnsi="Arial" w:cs="Arial" w:eastAsia="Arial"/>
                <w:b/>
                <w:color w:val="000000"/>
                <w:sz w:val="22"/>
              </w:rPr>
              <w:t>Metric to watch</w:t>
            </w:r>
          </w:p>
        </w:tc>
      </w:tr>
      <w:tr>
        <w:tc>
          <w:tcPr>
            <w:tcW w:type="dxa" w:w="2436"/>
          </w:tcPr>
          <w:p>
            <w:pPr>
              <w:spacing w:after="0"/>
              <w:jc w:val="left"/>
            </w:pPr>
            <w:r/>
            <w:r>
              <w:rPr>
                <w:rFonts w:ascii="Arial" w:hAnsi="Arial" w:cs="Arial" w:eastAsia="Arial"/>
                <w:b w:val="0"/>
                <w:color w:val="000000"/>
                <w:sz w:val="22"/>
              </w:rPr>
              <w:t>Fewer lost leads</w:t>
            </w:r>
          </w:p>
        </w:tc>
        <w:tc>
          <w:tcPr>
            <w:tcW w:type="dxa" w:w="2436"/>
          </w:tcPr>
          <w:p>
            <w:pPr>
              <w:spacing w:after="0"/>
              <w:jc w:val="left"/>
            </w:pPr>
            <w:r/>
            <w:r>
              <w:rPr>
                <w:rFonts w:ascii="Arial" w:hAnsi="Arial" w:cs="Arial" w:eastAsia="Arial"/>
                <w:b w:val="0"/>
                <w:color w:val="000000"/>
                <w:sz w:val="22"/>
              </w:rPr>
              <w:t>Every lead is recorded and assigned within 1 day, with reminders when it stalls</w:t>
            </w:r>
          </w:p>
        </w:tc>
        <w:tc>
          <w:tcPr>
            <w:tcW w:type="dxa" w:w="2436"/>
          </w:tcPr>
          <w:p>
            <w:pPr>
              <w:spacing w:after="0"/>
              <w:jc w:val="left"/>
            </w:pPr>
            <w:r/>
            <w:r>
              <w:rPr>
                <w:rFonts w:ascii="Arial" w:hAnsi="Arial" w:cs="Arial" w:eastAsia="Arial"/>
                <w:b w:val="0"/>
                <w:color w:val="000000"/>
                <w:sz w:val="22"/>
              </w:rPr>
              <w:t>More candidates reach the quotation stage</w:t>
            </w:r>
          </w:p>
        </w:tc>
        <w:tc>
          <w:tcPr>
            <w:tcW w:type="dxa" w:w="2436"/>
          </w:tcPr>
          <w:p>
            <w:pPr>
              <w:spacing w:after="0"/>
              <w:jc w:val="left"/>
            </w:pPr>
            <w:r/>
            <w:r>
              <w:rPr>
                <w:rFonts w:ascii="Arial" w:hAnsi="Arial" w:cs="Arial" w:eastAsia="Arial"/>
                <w:b w:val="0"/>
                <w:color w:val="000000"/>
                <w:sz w:val="22"/>
              </w:rPr>
              <w:t>Leads assigned within 1 day, lead to approved conversion</w:t>
            </w:r>
          </w:p>
        </w:tc>
      </w:tr>
      <w:tr>
        <w:tc>
          <w:tcPr>
            <w:tcW w:type="dxa" w:w="2436"/>
          </w:tcPr>
          <w:p>
            <w:pPr>
              <w:spacing w:after="0"/>
              <w:jc w:val="left"/>
            </w:pPr>
            <w:r/>
            <w:r>
              <w:rPr>
                <w:rFonts w:ascii="Arial" w:hAnsi="Arial" w:cs="Arial" w:eastAsia="Arial"/>
                <w:b w:val="0"/>
                <w:color w:val="000000"/>
                <w:sz w:val="22"/>
              </w:rPr>
              <w:t>Faster closing</w:t>
            </w:r>
          </w:p>
        </w:tc>
        <w:tc>
          <w:tcPr>
            <w:tcW w:type="dxa" w:w="2436"/>
          </w:tcPr>
          <w:p>
            <w:pPr>
              <w:spacing w:after="0"/>
              <w:jc w:val="left"/>
            </w:pPr>
            <w:r/>
            <w:r>
              <w:rPr>
                <w:rFonts w:ascii="Arial" w:hAnsi="Arial" w:cs="Arial" w:eastAsia="Arial"/>
                <w:b w:val="0"/>
                <w:color w:val="000000"/>
                <w:sz w:val="22"/>
              </w:rPr>
              <w:t>Clear PIC and deadline per stage, quotation response directly in the portal</w:t>
            </w:r>
          </w:p>
        </w:tc>
        <w:tc>
          <w:tcPr>
            <w:tcW w:type="dxa" w:w="2436"/>
          </w:tcPr>
          <w:p>
            <w:pPr>
              <w:spacing w:after="0"/>
              <w:jc w:val="left"/>
            </w:pPr>
            <w:r/>
            <w:r>
              <w:rPr>
                <w:rFonts w:ascii="Arial" w:hAnsi="Arial" w:cs="Arial" w:eastAsia="Arial"/>
                <w:b w:val="0"/>
                <w:color w:val="000000"/>
                <w:sz w:val="22"/>
              </w:rPr>
              <w:t>Deals close within the same month instead of dragging on, and fewer candidates move to competitors</w:t>
            </w:r>
          </w:p>
        </w:tc>
        <w:tc>
          <w:tcPr>
            <w:tcW w:type="dxa" w:w="2436"/>
          </w:tcPr>
          <w:p>
            <w:pPr>
              <w:spacing w:after="0"/>
              <w:jc w:val="left"/>
            </w:pPr>
            <w:r/>
            <w:r>
              <w:rPr>
                <w:rFonts w:ascii="Arial" w:hAnsi="Arial" w:cs="Arial" w:eastAsia="Arial"/>
                <w:b w:val="0"/>
                <w:color w:val="000000"/>
                <w:sz w:val="22"/>
              </w:rPr>
              <w:t>Days from lead to decision</w:t>
            </w:r>
          </w:p>
        </w:tc>
      </w:tr>
      <w:tr>
        <w:tc>
          <w:tcPr>
            <w:tcW w:type="dxa" w:w="2436"/>
          </w:tcPr>
          <w:p>
            <w:pPr>
              <w:spacing w:after="0"/>
              <w:jc w:val="left"/>
            </w:pPr>
            <w:r/>
            <w:r>
              <w:rPr>
                <w:rFonts w:ascii="Arial" w:hAnsi="Arial" w:cs="Arial" w:eastAsia="Arial"/>
                <w:b w:val="0"/>
                <w:color w:val="000000"/>
                <w:sz w:val="22"/>
              </w:rPr>
              <w:t>More capacity per sales</w:t>
            </w:r>
          </w:p>
        </w:tc>
        <w:tc>
          <w:tcPr>
            <w:tcW w:type="dxa" w:w="2436"/>
          </w:tcPr>
          <w:p>
            <w:pPr>
              <w:spacing w:after="0"/>
              <w:jc w:val="left"/>
            </w:pPr>
            <w:r/>
            <w:r>
              <w:rPr>
                <w:rFonts w:ascii="Arial" w:hAnsi="Arial" w:cs="Arial" w:eastAsia="Arial"/>
                <w:b w:val="0"/>
                <w:color w:val="000000"/>
                <w:sz w:val="22"/>
              </w:rPr>
              <w:t>Auto-assignment, task list, and self-service tracker reduce manual follow-up</w:t>
            </w:r>
          </w:p>
        </w:tc>
        <w:tc>
          <w:tcPr>
            <w:tcW w:type="dxa" w:w="2436"/>
          </w:tcPr>
          <w:p>
            <w:pPr>
              <w:spacing w:after="0"/>
              <w:jc w:val="left"/>
            </w:pPr>
            <w:r/>
            <w:r>
              <w:rPr>
                <w:rFonts w:ascii="Arial" w:hAnsi="Arial" w:cs="Arial" w:eastAsia="Arial"/>
                <w:b w:val="0"/>
                <w:color w:val="000000"/>
                <w:sz w:val="22"/>
              </w:rPr>
              <w:t>Each sales can handle more leads (lead cap 15 senior, 10 junior), so expansion does not need proportional new hires</w:t>
            </w:r>
          </w:p>
        </w:tc>
        <w:tc>
          <w:tcPr>
            <w:tcW w:type="dxa" w:w="2436"/>
          </w:tcPr>
          <w:p>
            <w:pPr>
              <w:spacing w:after="0"/>
              <w:jc w:val="left"/>
            </w:pPr>
            <w:r/>
            <w:r>
              <w:rPr>
                <w:rFonts w:ascii="Arial" w:hAnsi="Arial" w:cs="Arial" w:eastAsia="Arial"/>
                <w:b w:val="0"/>
                <w:color w:val="000000"/>
                <w:sz w:val="22"/>
              </w:rPr>
              <w:t>Active leads per sales</w:t>
            </w:r>
          </w:p>
        </w:tc>
      </w:tr>
      <w:tr>
        <w:tc>
          <w:tcPr>
            <w:tcW w:type="dxa" w:w="2436"/>
          </w:tcPr>
          <w:p>
            <w:pPr>
              <w:spacing w:after="0"/>
              <w:jc w:val="left"/>
            </w:pPr>
            <w:r/>
            <w:r>
              <w:rPr>
                <w:rFonts w:ascii="Arial" w:hAnsi="Arial" w:cs="Arial" w:eastAsia="Arial"/>
                <w:b w:val="0"/>
                <w:color w:val="000000"/>
                <w:sz w:val="22"/>
              </w:rPr>
              <w:t>Better outlet quality</w:t>
            </w:r>
          </w:p>
        </w:tc>
        <w:tc>
          <w:tcPr>
            <w:tcW w:type="dxa" w:w="2436"/>
          </w:tcPr>
          <w:p>
            <w:pPr>
              <w:spacing w:after="0"/>
              <w:jc w:val="left"/>
            </w:pPr>
            <w:r/>
            <w:r>
              <w:rPr>
                <w:rFonts w:ascii="Arial" w:hAnsi="Arial" w:cs="Arial" w:eastAsia="Arial"/>
                <w:b w:val="0"/>
                <w:color w:val="000000"/>
                <w:sz w:val="22"/>
              </w:rPr>
              <w:t>Structured assessment and AI fit score with location data</w:t>
            </w:r>
          </w:p>
        </w:tc>
        <w:tc>
          <w:tcPr>
            <w:tcW w:type="dxa" w:w="2436"/>
          </w:tcPr>
          <w:p>
            <w:pPr>
              <w:spacing w:after="0"/>
              <w:jc w:val="left"/>
            </w:pPr>
            <w:r/>
            <w:r>
              <w:rPr>
                <w:rFonts w:ascii="Arial" w:hAnsi="Arial" w:cs="Arial" w:eastAsia="Arial"/>
                <w:b w:val="0"/>
                <w:color w:val="000000"/>
                <w:sz w:val="22"/>
              </w:rPr>
              <w:t>Fewer failing outlets, which protects the brand and brings referrals for the next partners</w:t>
            </w:r>
          </w:p>
        </w:tc>
        <w:tc>
          <w:tcPr>
            <w:tcW w:type="dxa" w:w="2436"/>
          </w:tcPr>
          <w:p>
            <w:pPr>
              <w:spacing w:after="0"/>
              <w:jc w:val="left"/>
            </w:pPr>
            <w:r/>
            <w:r>
              <w:rPr>
                <w:rFonts w:ascii="Arial" w:hAnsi="Arial" w:cs="Arial" w:eastAsia="Arial"/>
                <w:b w:val="0"/>
                <w:color w:val="000000"/>
                <w:sz w:val="22"/>
              </w:rPr>
              <w:t>Outlet survival rate after 12 months (phase 3)</w:t>
            </w:r>
          </w:p>
        </w:tc>
      </w:tr>
      <w:tr>
        <w:tc>
          <w:tcPr>
            <w:tcW w:type="dxa" w:w="2436"/>
          </w:tcPr>
          <w:p>
            <w:pPr>
              <w:spacing w:after="0"/>
              <w:jc w:val="left"/>
            </w:pPr>
            <w:r/>
            <w:r>
              <w:rPr>
                <w:rFonts w:ascii="Arial" w:hAnsi="Arial" w:cs="Arial" w:eastAsia="Arial"/>
                <w:b w:val="0"/>
                <w:color w:val="000000"/>
                <w:sz w:val="22"/>
              </w:rPr>
              <w:t>Early course correction</w:t>
            </w:r>
          </w:p>
        </w:tc>
        <w:tc>
          <w:tcPr>
            <w:tcW w:type="dxa" w:w="2436"/>
          </w:tcPr>
          <w:p>
            <w:pPr>
              <w:spacing w:after="0"/>
              <w:jc w:val="left"/>
            </w:pPr>
            <w:r/>
            <w:r>
              <w:rPr>
                <w:rFonts w:ascii="Arial" w:hAnsi="Arial" w:cs="Arial" w:eastAsia="Arial"/>
                <w:b w:val="0"/>
                <w:color w:val="000000"/>
                <w:sz w:val="22"/>
              </w:rPr>
              <w:t>Target vs Achievement shows the gap during the period</w:t>
            </w:r>
          </w:p>
        </w:tc>
        <w:tc>
          <w:tcPr>
            <w:tcW w:type="dxa" w:w="2436"/>
          </w:tcPr>
          <w:p>
            <w:pPr>
              <w:spacing w:after="0"/>
              <w:jc w:val="left"/>
            </w:pPr>
            <w:r/>
            <w:r>
              <w:rPr>
                <w:rFonts w:ascii="Arial" w:hAnsi="Arial" w:cs="Arial" w:eastAsia="Arial"/>
                <w:b w:val="0"/>
                <w:color w:val="000000"/>
                <w:sz w:val="22"/>
              </w:rPr>
              <w:t>Management can push the pipeline before the month ends</w:t>
            </w:r>
          </w:p>
        </w:tc>
        <w:tc>
          <w:tcPr>
            <w:tcW w:type="dxa" w:w="2436"/>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Illustration (not a forecast):</w:t>
      </w:r>
      <w:r>
        <w:rPr>
          <w:rFonts w:ascii="Arial" w:hAnsi="Arial" w:cs="Arial" w:eastAsia="Arial"/>
          <w:b w:val="0"/>
          <w:color w:val="000000"/>
          <w:sz w:val="22"/>
        </w:rPr>
        <w:t xml:space="preserve"> with about 92 leads per month, raising lead to approved conversion from 12% to 14% by losing fewer leads adds about 1.8 outlets per month, or about 22 outlets per year. At the target package mix (60% Gerobak, 40% Cafe, average deal around Rp 207 million), that is about Rp 4.5 billion in additional deal value per year with the same team.</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1949"/>
        <w:gridCol w:w="1949"/>
        <w:gridCol w:w="1949"/>
        <w:gridCol w:w="1949"/>
        <w:gridCol w:w="1949"/>
      </w:tblGrid>
      <w:tr>
        <w:tc>
          <w:tcPr>
            <w:tcW w:type="dxa" w:w="567"/>
            <w:shd w:val="clear" w:color="auto" w:fill="E7E2DA"/>
          </w:tcPr>
          <w:p>
            <w:pPr>
              <w:spacing w:after="0"/>
              <w:jc w:val="left"/>
            </w:pPr>
            <w:r/>
            <w:r>
              <w:rPr>
                <w:rFonts w:ascii="Arial" w:hAnsi="Arial" w:cs="Arial" w:eastAsia="Arial"/>
                <w:b/>
                <w:color w:val="000000"/>
                <w:sz w:val="22"/>
              </w:rPr>
              <w:t>#</w:t>
            </w:r>
          </w:p>
        </w:tc>
        <w:tc>
          <w:tcPr>
            <w:tcW w:type="dxa" w:w="1247"/>
            <w:shd w:val="clear" w:color="auto" w:fill="E7E2DA"/>
          </w:tcPr>
          <w:p>
            <w:pPr>
              <w:spacing w:after="0"/>
              <w:jc w:val="left"/>
            </w:pPr>
            <w:r/>
            <w:r>
              <w:rPr>
                <w:rFonts w:ascii="Arial" w:hAnsi="Arial" w:cs="Arial" w:eastAsia="Arial"/>
                <w:b/>
                <w:color w:val="000000"/>
                <w:sz w:val="22"/>
              </w:rPr>
              <w:t>App</w:t>
            </w:r>
          </w:p>
        </w:tc>
        <w:tc>
          <w:tcPr>
            <w:tcW w:type="dxa" w:w="2494"/>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969"/>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969"/>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969"/>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969"/>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969"/>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969"/>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969"/>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969"/>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Case and process</w:t>
            </w:r>
          </w:p>
        </w:tc>
        <w:tc>
          <w:tcPr>
            <w:tcW w:type="dxa" w:w="3249"/>
          </w:tcPr>
          <w:p>
            <w:pPr>
              <w:spacing w:after="0"/>
              <w:jc w:val="left"/>
            </w:pPr>
            <w:r/>
            <w:r>
              <w:rPr>
                <w:rFonts w:ascii="Arial" w:hAnsi="Arial" w:cs="Arial" w:eastAsia="Arial"/>
                <w:b w:val="0"/>
                <w:color w:val="000000"/>
                <w:sz w:val="22"/>
              </w:rPr>
              <w:t>Explored client profiles, pain points, and flow options</w:t>
            </w:r>
          </w:p>
        </w:tc>
        <w:tc>
          <w:tcPr>
            <w:tcW w:type="dxa" w:w="3249"/>
          </w:tcPr>
          <w:p>
            <w:pPr>
              <w:spacing w:after="0"/>
              <w:jc w:val="left"/>
            </w:pPr>
            <w:r/>
            <w:r>
              <w:rPr>
                <w:rFonts w:ascii="Arial" w:hAnsi="Arial" w:cs="Arial" w:eastAsia="Arial"/>
                <w:b w:val="0"/>
                <w:color w:val="000000"/>
                <w:sz w:val="22"/>
              </w:rPr>
              <w:t>Chose the scope and simplified the flow and rules</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through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Restructured and edited it</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