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color w:val="000000"/>
          <w:sz w:val="22"/>
        </w:rPr>
        <w:t>Kopi Koma Partner Portal: Product Requirements Document</w:t>
      </w:r>
    </w:p>
    <w:p>
      <w:pPr>
        <w:pStyle w:val="Heading1"/>
      </w:pPr>
      <w:r>
        <w:rPr>
          <w:rFonts w:ascii="Arial" w:hAnsi="Arial" w:cs="Arial" w:eastAsia="Arial"/>
          <w:b/>
          <w:color w:val="000000"/>
          <w:sz w:val="22"/>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How to Try the Prototype</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2"/>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w:t>
      </w:r>
      <w:hyperlink r:id="rId10">
        <w:r>
          <w:rPr>
            <w:rFonts w:ascii="Arial" w:hAnsi="Arial" w:cs="Arial" w:eastAsia="Arial"/>
            <w:color w:val="1155CC"/>
            <w:sz w:val="22"/>
            <w:u w:val="single"/>
          </w:rPr>
          <w:t xml:space="preserve">https://kopikomapartnerportal.vercel.app</w:t>
        </w:r>
      </w:hyperlink>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w:t>
      </w:r>
      <w:hyperlink r:id="rId11">
        <w:r>
          <w:rPr>
            <w:rFonts w:ascii="Arial" w:hAnsi="Arial" w:cs="Arial" w:eastAsia="Arial"/>
            <w:color w:val="1155CC"/>
            <w:sz w:val="22"/>
            <w:u w:val="single"/>
          </w:rPr>
          <w:t xml:space="preserve">https://kopikomapartnerportal.vercel.app/mitra</w:t>
        </w:r>
      </w:hyperlink>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2"/>
        </w:rPr>
        <w:t>How to Try the Prototype</w:t>
      </w:r>
    </w:p>
    <w:p>
      <w:pPr>
        <w:jc w:val="both"/>
      </w:pPr>
      <w:r>
        <w:rPr>
          <w:rFonts w:ascii="Arial" w:hAnsi="Arial" w:cs="Arial" w:eastAsia="Arial"/>
          <w:b w:val="0"/>
          <w:color w:val="000000"/>
          <w:sz w:val="22"/>
        </w:rPr>
        <w:t>A 5-minute path through the core flow. Open both links in the same browser so the two apps share data.</w:t>
      </w:r>
    </w:p>
    <w:p>
      <w:pPr>
        <w:spacing w:after="60"/>
        <w:ind w:left="454" w:hanging="454"/>
        <w:jc w:val="left"/>
      </w:pPr>
      <w:r>
        <w:rPr>
          <w:rFonts w:ascii="Arial" w:hAnsi="Arial" w:cs="Arial" w:eastAsia="Arial"/>
          <w:b w:val="0"/>
          <w:color w:val="000000"/>
          <w:sz w:val="22"/>
        </w:rPr>
        <w:t>1. Open the Partner Portal (/mitra), click "Isi data contoh", and submit. The lead is assigned automatically to Rendi (Tangerang region).</w:t>
      </w:r>
    </w:p>
    <w:p>
      <w:pPr>
        <w:spacing w:after="60"/>
        <w:ind w:left="454" w:hanging="454"/>
        <w:jc w:val="left"/>
      </w:pPr>
      <w:r>
        <w:rPr>
          <w:rFonts w:ascii="Arial" w:hAnsi="Arial" w:cs="Arial" w:eastAsia="Arial"/>
          <w:b w:val="0"/>
          <w:color w:val="000000"/>
          <w:sz w:val="22"/>
        </w:rPr>
        <w:t>2. Open the dashboard and log in as Rendi (Sales) from the demo account list. Process the business presentation and the location survey.</w:t>
      </w:r>
    </w:p>
    <w:p>
      <w:pPr>
        <w:spacing w:after="60"/>
        <w:ind w:left="454" w:hanging="454"/>
        <w:jc w:val="left"/>
      </w:pPr>
      <w:r>
        <w:rPr>
          <w:rFonts w:ascii="Arial" w:hAnsi="Arial" w:cs="Arial" w:eastAsia="Arial"/>
          <w:b w:val="0"/>
          <w:color w:val="000000"/>
          <w:sz w:val="22"/>
        </w:rPr>
        <w:t>3. Log in as Bima (Reviewer) and complete the eligibility assessment.</w:t>
      </w:r>
    </w:p>
    <w:p>
      <w:pPr>
        <w:spacing w:after="60"/>
        <w:ind w:left="454" w:hanging="454"/>
        <w:jc w:val="left"/>
      </w:pPr>
      <w:r>
        <w:rPr>
          <w:rFonts w:ascii="Arial" w:hAnsi="Arial" w:cs="Arial" w:eastAsia="Arial"/>
          <w:b w:val="0"/>
          <w:color w:val="000000"/>
          <w:sz w:val="22"/>
        </w:rPr>
        <w:t>4. Log in as Rendi again and send the quotation.</w:t>
      </w:r>
    </w:p>
    <w:p>
      <w:pPr>
        <w:spacing w:after="60"/>
        <w:ind w:left="454" w:hanging="454"/>
        <w:jc w:val="left"/>
      </w:pPr>
      <w:r>
        <w:rPr>
          <w:rFonts w:ascii="Arial" w:hAnsi="Arial" w:cs="Arial" w:eastAsia="Arial"/>
          <w:b w:val="0"/>
          <w:color w:val="000000"/>
          <w:sz w:val="22"/>
        </w:rPr>
        <w:t>5. Back in the Partner Portal, check the status with the application number and email, then agree to the quotation.</w:t>
      </w:r>
    </w:p>
    <w:p>
      <w:pPr>
        <w:spacing w:after="60"/>
        <w:ind w:left="454" w:hanging="454"/>
        <w:jc w:val="left"/>
      </w:pPr>
      <w:r>
        <w:rPr>
          <w:rFonts w:ascii="Arial" w:hAnsi="Arial" w:cs="Arial" w:eastAsia="Arial"/>
          <w:b w:val="0"/>
          <w:color w:val="000000"/>
          <w:sz w:val="22"/>
        </w:rPr>
        <w:t>6. Log in as Laras (Manager), give final approval, and sign the agreement. Open Pipeline, then Completed, to view the signed document.</w:t>
      </w:r>
    </w:p>
    <w:p>
      <w:pPr>
        <w:jc w:val="both"/>
      </w:pPr>
      <w:r>
        <w:rPr>
          <w:rFonts w:ascii="Arial" w:hAnsi="Arial" w:cs="Arial" w:eastAsia="Arial"/>
          <w:b w:val="0"/>
          <w:color w:val="000000"/>
          <w:sz w:val="22"/>
        </w:rPr>
        <w:t>Extra value (Should have): as Laras, open Target and Performa Sales.</w:t>
      </w:r>
    </w:p>
    <w:p>
      <w:pPr>
        <w:pStyle w:val="Heading1"/>
      </w:pPr>
      <w:r>
        <w:rPr>
          <w:rFonts w:ascii="Arial" w:hAnsi="Arial" w:cs="Arial" w:eastAsia="Arial"/>
          <w:b/>
          <w:color w:val="000000"/>
          <w:sz w:val="22"/>
        </w:rPr>
        <w:t>Assumptions</w:t>
      </w:r>
    </w:p>
    <w:p>
      <w:pPr>
        <w:pStyle w:val="Heading2"/>
      </w:pPr>
      <w:r>
        <w:rPr>
          <w:rFonts w:ascii="Arial" w:hAnsi="Arial" w:cs="Arial" w:eastAsia="Arial"/>
          <w:b/>
          <w:color w:val="000000"/>
          <w:sz w:val="22"/>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2"/>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2"/>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2"/>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2"/>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2"/>
        </w:rPr>
        <w:t>Diagram</w:t>
      </w:r>
    </w:p>
    <w:p>
      <w:pPr>
        <w:pStyle w:val="Heading2"/>
      </w:pPr>
      <w:r>
        <w:rPr>
          <w:rFonts w:ascii="Arial" w:hAnsi="Arial" w:cs="Arial" w:eastAsia="Arial"/>
          <w:b/>
          <w:color w:val="000000"/>
          <w:sz w:val="22"/>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2"/>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2"/>
        </w:rPr>
        <w:t>Solution</w:t>
      </w:r>
    </w:p>
    <w:p>
      <w:pPr>
        <w:pStyle w:val="Heading2"/>
      </w:pPr>
      <w:r>
        <w:rPr>
          <w:rFonts w:ascii="Arial" w:hAnsi="Arial" w:cs="Arial" w:eastAsia="Arial"/>
          <w:b/>
          <w:color w:val="000000"/>
          <w:sz w:val="22"/>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2"/>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View signed agreement (Privy)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Reviewers cannot view the signed agreement: their work ends at the eligibility assessment, and the agreement contains personal and commercial data they do not need.</w:t>
      </w: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2"/>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2"/>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w:t>
      </w:r>
      <w:hyperlink r:id="rId10">
        <w:r>
          <w:rPr>
            <w:rFonts w:ascii="Arial" w:hAnsi="Arial" w:cs="Arial" w:eastAsia="Arial"/>
            <w:color w:val="1155CC"/>
            <w:sz w:val="22"/>
            <w:u w:val="single"/>
          </w:rPr>
          <w:t xml:space="preserve">https://kopikomapartnerportal.vercel.app</w:t>
        </w:r>
      </w:hyperlink>
      <w:r>
        <w:rPr>
          <w:rFonts w:ascii="Arial" w:hAnsi="Arial" w:cs="Arial" w:eastAsia="Arial"/>
          <w:b w:val="0"/>
          <w:color w:val="000000"/>
          <w:sz w:val="22"/>
        </w:rPr>
        <w:t xml:space="preserve"> (password demo123) and </w:t>
      </w:r>
      <w:r>
        <w:rPr>
          <w:rFonts w:ascii="Arial" w:hAnsi="Arial" w:cs="Arial" w:eastAsia="Arial"/>
          <w:b/>
          <w:color w:val="000000"/>
          <w:sz w:val="22"/>
        </w:rPr>
        <w:t>Partner Portal</w:t>
      </w:r>
      <w:r>
        <w:rPr>
          <w:rFonts w:ascii="Arial" w:hAnsi="Arial" w:cs="Arial" w:eastAsia="Arial"/>
          <w:b w:val="0"/>
          <w:color w:val="000000"/>
          <w:sz w:val="22"/>
        </w:rPr>
        <w:t xml:space="preserve"> </w:t>
      </w:r>
      <w:hyperlink r:id="rId11">
        <w:r>
          <w:rPr>
            <w:rFonts w:ascii="Arial" w:hAnsi="Arial" w:cs="Arial" w:eastAsia="Arial"/>
            <w:color w:val="1155CC"/>
            <w:sz w:val="22"/>
            <w:u w:val="single"/>
          </w:rPr>
          <w:t xml:space="preserve">https://kopikomapartnerportal.vercel.app/mitra</w:t>
        </w:r>
      </w:hyperlink>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Pipeline (Manager)</w:t>
            </w:r>
          </w:p>
        </w:tc>
        <w:tc>
          <w:tcPr>
            <w:tcW w:type="dxa" w:w="4873"/>
          </w:tcPr>
          <w:p>
            <w:pPr>
              <w:jc w:val="center"/>
            </w:pPr>
            <w:r>
              <w:rPr>
                <w:rFonts w:ascii="Arial" w:hAnsi="Arial" w:cs="Arial" w:eastAsia="Arial"/>
                <w:i/>
                <w:color w:val="000000"/>
                <w:sz w:val="22"/>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5"/>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6"/>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Approval status</w:t>
            </w:r>
          </w:p>
        </w:tc>
        <w:tc>
          <w:tcPr>
            <w:tcW w:type="dxa" w:w="4873"/>
          </w:tcPr>
          <w:p>
            <w:pPr>
              <w:jc w:val="center"/>
            </w:pPr>
            <w:r>
              <w:rPr>
                <w:rFonts w:ascii="Arial" w:hAnsi="Arial" w:cs="Arial" w:eastAsia="Arial"/>
                <w:i/>
                <w:color w:val="000000"/>
                <w:sz w:val="22"/>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7"/>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8"/>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9"/>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2"/>
              </w:rPr>
              <w:t>Portal: registration</w:t>
            </w:r>
          </w:p>
        </w:tc>
        <w:tc>
          <w:tcPr>
            <w:tcW w:type="dxa" w:w="3249"/>
          </w:tcPr>
          <w:p>
            <w:pPr>
              <w:jc w:val="center"/>
            </w:pPr>
            <w:r>
              <w:rPr>
                <w:rFonts w:ascii="Arial" w:hAnsi="Arial" w:cs="Arial" w:eastAsia="Arial"/>
                <w:i/>
                <w:color w:val="000000"/>
                <w:sz w:val="22"/>
              </w:rPr>
              <w:t>Portal: tracker</w:t>
            </w:r>
          </w:p>
        </w:tc>
        <w:tc>
          <w:tcPr>
            <w:tcW w:type="dxa" w:w="3249"/>
          </w:tcPr>
          <w:p>
            <w:pPr>
              <w:jc w:val="center"/>
            </w:pPr>
            <w:r>
              <w:rPr>
                <w:rFonts w:ascii="Arial" w:hAnsi="Arial" w:cs="Arial" w:eastAsia="Arial"/>
                <w:i/>
                <w:color w:val="000000"/>
                <w:sz w:val="22"/>
              </w:rPr>
              <w:t>Portal: quotation response</w:t>
            </w:r>
          </w:p>
        </w:tc>
      </w:tr>
    </w:tbl>
    <w:p>
      <w:pPr>
        <w:spacing w:after="0"/>
      </w:pPr>
    </w:p>
    <w:p>
      <w:pPr>
        <w:pStyle w:val="Heading1"/>
      </w:pPr>
      <w:r>
        <w:rPr>
          <w:rFonts w:ascii="Arial" w:hAnsi="Arial" w:cs="Arial" w:eastAsia="Arial"/>
          <w:b/>
          <w:color w:val="000000"/>
          <w:sz w:val="22"/>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2"/>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2"/>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2"/>
        </w:rPr>
        <w:t>Use of AI</w:t>
      </w:r>
    </w:p>
    <w:p>
      <w:pPr>
        <w:jc w:val="both"/>
      </w:pPr>
      <w:r>
        <w:rPr>
          <w:rFonts w:ascii="Arial" w:hAnsi="Arial" w:cs="Arial" w:eastAsia="Arial"/>
          <w:b w:val="0"/>
          <w:color w:val="000000"/>
          <w:sz w:val="22"/>
        </w:rPr>
        <w:t>I used Claude (Anthropic) throughout the project, in this order: I wrote the PRD first, built the prototype from it, and kept the PRD updated as decisions changed. The product decisions were mine, and I checked the AI's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Tidied up my pain points, feature list, and funnel into a clear structure</w:t>
            </w:r>
          </w:p>
        </w:tc>
        <w:tc>
          <w:tcPr>
            <w:tcW w:type="dxa" w:w="3249"/>
          </w:tcPr>
          <w:p>
            <w:pPr>
              <w:spacing w:after="0"/>
              <w:jc w:val="left"/>
            </w:pPr>
            <w:r/>
            <w:r>
              <w:rPr>
                <w:rFonts w:ascii="Arial" w:hAnsi="Arial" w:cs="Arial" w:eastAsia="Arial"/>
                <w:b w:val="0"/>
                <w:color w:val="000000"/>
                <w:sz w:val="22"/>
              </w:rPr>
              <w:t>Defined the pain points, features, and funnel, designed the business process (stages, PIC, deadlines, and approval rules), and pointed out the special cases the flow must handle (for example, duplicate leads, leads outside any sales region, and location changes during negotiation)</w:t>
            </w:r>
          </w:p>
        </w:tc>
      </w:tr>
      <w:tr>
        <w:tc>
          <w:tcPr>
            <w:tcW w:type="dxa" w:w="3249"/>
          </w:tcPr>
          <w:p>
            <w:pPr>
              <w:spacing w:after="0"/>
              <w:jc w:val="left"/>
            </w:pPr>
            <w:r/>
            <w:r>
              <w:rPr>
                <w:rFonts w:ascii="Arial" w:hAnsi="Arial" w:cs="Arial" w:eastAsia="Arial"/>
                <w:b w:val="0"/>
                <w:color w:val="000000"/>
                <w:sz w:val="22"/>
              </w:rPr>
              <w:t>PRD (first draft)</w:t>
            </w:r>
          </w:p>
        </w:tc>
        <w:tc>
          <w:tcPr>
            <w:tcW w:type="dxa" w:w="3249"/>
          </w:tcPr>
          <w:p>
            <w:pPr>
              <w:spacing w:after="0"/>
              <w:jc w:val="left"/>
            </w:pPr>
            <w:r/>
            <w:r>
              <w:rPr>
                <w:rFonts w:ascii="Arial" w:hAnsi="Arial" w:cs="Arial" w:eastAsia="Arial"/>
                <w:b w:val="0"/>
                <w:color w:val="000000"/>
                <w:sz w:val="22"/>
              </w:rPr>
              <w:t>Formatted my pain points, features, and flow into a first PRD draft (text)</w:t>
            </w:r>
          </w:p>
        </w:tc>
        <w:tc>
          <w:tcPr>
            <w:tcW w:type="dxa" w:w="3249"/>
          </w:tcPr>
          <w:p>
            <w:pPr>
              <w:spacing w:after="0"/>
              <w:jc w:val="left"/>
            </w:pPr>
            <w:r/>
            <w:r>
              <w:rPr>
                <w:rFonts w:ascii="Arial" w:hAnsi="Arial" w:cs="Arial" w:eastAsia="Arial"/>
                <w:b w:val="0"/>
                <w:color w:val="000000"/>
                <w:sz w:val="22"/>
              </w:rPr>
              <w:t>Reviewed and edited the draft and used it as the spec for the prototype; updated the PRD whenever a decision changed while prototyping</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based on the PRD,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Product decisions</w:t>
            </w:r>
          </w:p>
        </w:tc>
        <w:tc>
          <w:tcPr>
            <w:tcW w:type="dxa" w:w="3249"/>
          </w:tcPr>
          <w:p>
            <w:pPr>
              <w:spacing w:after="0"/>
              <w:jc w:val="left"/>
            </w:pPr>
            <w:r/>
            <w:r>
              <w:rPr>
                <w:rFonts w:ascii="Arial" w:hAnsi="Arial" w:cs="Arial" w:eastAsia="Arial"/>
                <w:b w:val="0"/>
                <w:color w:val="000000"/>
                <w:sz w:val="22"/>
              </w:rPr>
              <w:t>Discussed the trade-offs of each change I proposed, then updated the PRD and the prototype to match</w:t>
            </w:r>
          </w:p>
        </w:tc>
        <w:tc>
          <w:tcPr>
            <w:tcW w:type="dxa" w:w="3249"/>
          </w:tcPr>
          <w:p>
            <w:pPr>
              <w:spacing w:after="0"/>
              <w:jc w:val="left"/>
            </w:pPr>
            <w:r/>
            <w:r>
              <w:rPr>
                <w:rFonts w:ascii="Arial" w:hAnsi="Arial" w:cs="Arial" w:eastAsia="Arial"/>
                <w:b w:val="0"/>
                <w:color w:val="000000"/>
                <w:sz w:val="22"/>
              </w:rPr>
              <w:t>Decided each change: separate apps for the franchisor and the candidate, roles and access, the 8-stage flow with automatic lead assignment, location-change rules, per-sales targets, and e-signature tracking</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2"/>
        </w:rPr>
        <w:t>References</w:t>
      </w:r>
    </w:p>
    <w:p>
      <w:pPr>
        <w:spacing w:after="60"/>
        <w:ind w:left="454" w:hanging="454"/>
        <w:jc w:val="left"/>
      </w:pPr>
      <w:r>
        <w:rPr>
          <w:rFonts w:ascii="Arial" w:hAnsi="Arial" w:cs="Arial" w:eastAsia="Arial"/>
          <w:b w:val="0"/>
          <w:color w:val="000000"/>
          <w:sz w:val="22"/>
        </w:rPr>
        <w:t xml:space="preserve">[1] ANTARA News, "Kemendag sebut sektor kuliner masih mendominasi bisnis waralaba". </w:t>
      </w:r>
      <w:hyperlink r:id="rId20">
        <w:r>
          <w:rPr>
            <w:rFonts w:ascii="Arial" w:hAnsi="Arial" w:cs="Arial" w:eastAsia="Arial"/>
            <w:color w:val="1155CC"/>
            <w:sz w:val="22"/>
            <w:u w:val="single"/>
          </w:rPr>
          <w:t xml:space="preserve">https://www.antaranews.com/berita/4774885/kemendag-sebut-sektor-kuliner-masih-mendominasi-bisnis-waralaba</w:t>
        </w:r>
      </w:hyperlink>
    </w:p>
    <w:p>
      <w:pPr>
        <w:spacing w:after="60"/>
        <w:ind w:left="454" w:hanging="454"/>
        <w:jc w:val="left"/>
      </w:pPr>
      <w:r>
        <w:rPr>
          <w:rFonts w:ascii="Arial" w:hAnsi="Arial" w:cs="Arial" w:eastAsia="Arial"/>
          <w:b w:val="0"/>
          <w:color w:val="000000"/>
          <w:sz w:val="22"/>
        </w:rPr>
        <w:t xml:space="preserve">[2] Tempo, "Mendag: Waralaba Serap 97 Ribu Tenaga Kerja dengan Omzet Rp 143 Triliun". </w:t>
      </w:r>
      <w:hyperlink r:id="rId21">
        <w:r>
          <w:rPr>
            <w:rFonts w:ascii="Arial" w:hAnsi="Arial" w:cs="Arial" w:eastAsia="Arial"/>
            <w:color w:val="1155CC"/>
            <w:sz w:val="22"/>
            <w:u w:val="single"/>
          </w:rPr>
          <w:t xml:space="preserve">https://www.tempo.co/ekonomi/mendag-waralaba-serap-97-ribu-tenaga-kerja-dengan-omzet-rp-143-triliun-1218788</w:t>
        </w:r>
      </w:hyperlink>
    </w:p>
    <w:p>
      <w:pPr>
        <w:spacing w:after="60"/>
        <w:ind w:left="454" w:hanging="454"/>
        <w:jc w:val="left"/>
      </w:pPr>
      <w:r>
        <w:rPr>
          <w:rFonts w:ascii="Arial" w:hAnsi="Arial" w:cs="Arial" w:eastAsia="Arial"/>
          <w:b w:val="0"/>
          <w:color w:val="000000"/>
          <w:sz w:val="22"/>
        </w:rPr>
        <w:t xml:space="preserve">[3] Marketeers, "Toffin: Nilai Pasar Kedai Kopi di Indonesia Capai Rp 4,8 Triliun". </w:t>
      </w:r>
      <w:hyperlink r:id="rId22">
        <w:r>
          <w:rPr>
            <w:rFonts w:ascii="Arial" w:hAnsi="Arial" w:cs="Arial" w:eastAsia="Arial"/>
            <w:color w:val="1155CC"/>
            <w:sz w:val="22"/>
            <w:u w:val="single"/>
          </w:rPr>
          <w:t xml:space="preserve">https://www.marketeers.com/toffin-nilai-pasar-kedai-kopi-di-indonesia-capai-rp-4-8-triliun/</w:t>
        </w:r>
      </w:hyperlink>
    </w:p>
    <w:p>
      <w:pPr>
        <w:spacing w:after="60"/>
        <w:ind w:left="454" w:hanging="454"/>
        <w:jc w:val="left"/>
      </w:pPr>
      <w:r>
        <w:rPr>
          <w:rFonts w:ascii="Arial" w:hAnsi="Arial" w:cs="Arial" w:eastAsia="Arial"/>
          <w:b w:val="0"/>
          <w:color w:val="000000"/>
          <w:sz w:val="22"/>
        </w:rPr>
        <w:t xml:space="preserve">[4] Warta Ekonomi, "Bisnis Kedai Kopi di Indonesia Cerah, Jumlahnya Melesat 3X Lipat". </w:t>
      </w:r>
      <w:hyperlink r:id="rId23">
        <w:r>
          <w:rPr>
            <w:rFonts w:ascii="Arial" w:hAnsi="Arial" w:cs="Arial" w:eastAsia="Arial"/>
            <w:color w:val="1155CC"/>
            <w:sz w:val="22"/>
            <w:u w:val="single"/>
          </w:rPr>
          <w:t xml:space="preserve">https://wartaekonomi.co.id/read262062/bisnis-kedai-kopi-di-indonesia-cerah-jumlahnya-melesat-3x-lipat</w:t>
        </w:r>
      </w:hyperlink>
    </w:p>
    <w:p>
      <w:pPr>
        <w:spacing w:after="60"/>
        <w:ind w:left="454" w:hanging="454"/>
        <w:jc w:val="left"/>
      </w:pPr>
      <w:r>
        <w:rPr>
          <w:rFonts w:ascii="Arial" w:hAnsi="Arial" w:cs="Arial" w:eastAsia="Arial"/>
          <w:b w:val="0"/>
          <w:color w:val="000000"/>
          <w:sz w:val="22"/>
        </w:rPr>
        <w:t xml:space="preserve">[5] JDIH BPK, PP No. 35 Tahun 2024 tentang Waralaba. </w:t>
      </w:r>
      <w:hyperlink r:id="rId24">
        <w:r>
          <w:rPr>
            <w:rFonts w:ascii="Arial" w:hAnsi="Arial" w:cs="Arial" w:eastAsia="Arial"/>
            <w:color w:val="1155CC"/>
            <w:sz w:val="22"/>
            <w:u w:val="single"/>
          </w:rPr>
          <w:t xml:space="preserve">https://peraturan.bpk.go.id/Details/297489/pp-no-35-tahun-2024</w:t>
        </w:r>
      </w:hyperlink>
    </w:p>
    <w:p>
      <w:pPr>
        <w:spacing w:after="60"/>
        <w:ind w:left="454" w:hanging="454"/>
        <w:jc w:val="left"/>
      </w:pPr>
      <w:r>
        <w:rPr>
          <w:rFonts w:ascii="Arial" w:hAnsi="Arial" w:cs="Arial" w:eastAsia="Arial"/>
          <w:b w:val="0"/>
          <w:color w:val="000000"/>
          <w:sz w:val="22"/>
        </w:rPr>
        <w:t xml:space="preserve">[6] JDIH BPK, UU No. 27 Tahun 2022 tentang Pelindungan Data Pribadi. </w:t>
      </w:r>
      <w:hyperlink r:id="rId25">
        <w:r>
          <w:rPr>
            <w:rFonts w:ascii="Arial" w:hAnsi="Arial" w:cs="Arial" w:eastAsia="Arial"/>
            <w:color w:val="1155CC"/>
            <w:sz w:val="22"/>
            <w:u w:val="single"/>
          </w:rPr>
          <w:t xml:space="preserve">https://peraturan.bpk.go.id/Details/229798/uu-no-27-tahun-2022</w:t>
        </w:r>
      </w:hyperlink>
    </w:p>
    <w:p>
      <w:pPr>
        <w:pStyle w:val="Heading1"/>
      </w:pPr>
      <w:r>
        <w:rPr>
          <w:rFonts w:ascii="Arial" w:hAnsi="Arial" w:cs="Arial" w:eastAsia="Arial"/>
          <w:b/>
          <w:color w:val="000000"/>
          <w:sz w:val="22"/>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kopikomapartnerportal.vercel.app" TargetMode="External"/><Relationship Id="rId11" Type="http://schemas.openxmlformats.org/officeDocument/2006/relationships/hyperlink" Target="https://kopikomapartnerportal.vercel.app/mitra"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www.antaranews.com/berita/4774885/kemendag-sebut-sektor-kuliner-masih-mendominasi-bisnis-waralaba" TargetMode="External"/><Relationship Id="rId21" Type="http://schemas.openxmlformats.org/officeDocument/2006/relationships/hyperlink" Target="https://www.tempo.co/ekonomi/mendag-waralaba-serap-97-ribu-tenaga-kerja-dengan-omzet-rp-143-triliun-1218788" TargetMode="External"/><Relationship Id="rId22" Type="http://schemas.openxmlformats.org/officeDocument/2006/relationships/hyperlink" Target="https://www.marketeers.com/toffin-nilai-pasar-kedai-kopi-di-indonesia-capai-rp-4-8-triliun/" TargetMode="External"/><Relationship Id="rId23" Type="http://schemas.openxmlformats.org/officeDocument/2006/relationships/hyperlink" Target="https://wartaekonomi.co.id/read262062/bisnis-kedai-kopi-di-indonesia-cerah-jumlahnya-melesat-3x-lipat" TargetMode="External"/><Relationship Id="rId24" Type="http://schemas.openxmlformats.org/officeDocument/2006/relationships/hyperlink" Target="https://peraturan.bpk.go.id/Details/297489/pp-no-35-tahun-2024" TargetMode="External"/><Relationship Id="rId25" Type="http://schemas.openxmlformats.org/officeDocument/2006/relationships/hyperlink" Target="https://peraturan.bpk.go.id/Details/229798/uu-no-27-tahun-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