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fill="1F3A6E"/>
        <w:spacing w:before="0" w:after="0"/>
        <w:rPr/>
      </w:pPr>
      <w:r>
        <w:rPr/>
      </w:r>
    </w:p>
    <w:p>
      <w:pPr>
        <w:pStyle w:val="Normal"/>
        <w:shd w:val="clear" w:fill="1F3A6E"/>
        <w:spacing w:before="320" w:after="80"/>
        <w:jc w:val="center"/>
        <w:rPr/>
      </w:pPr>
      <w:r>
        <w:rPr>
          <w:rFonts w:eastAsia="Arial" w:cs="Arial"/>
          <w:b/>
          <w:bCs/>
          <w:color w:val="FFFFFF"/>
          <w:sz w:val="52"/>
          <w:szCs w:val="52"/>
        </w:rPr>
        <w:t>SALES FUNNEL ANALYSIS</w:t>
      </w:r>
    </w:p>
    <w:p>
      <w:pPr>
        <w:pStyle w:val="Normal"/>
        <w:shd w:val="clear" w:fill="1F3A6E"/>
        <w:spacing w:before="0" w:after="80"/>
        <w:jc w:val="center"/>
        <w:rPr/>
      </w:pPr>
      <w:r>
        <w:rPr>
          <w:rFonts w:eastAsia="Arial" w:cs="Arial"/>
          <w:color w:val="93C5FD"/>
          <w:sz w:val="26"/>
          <w:szCs w:val="26"/>
        </w:rPr>
        <w:t>Marketing Efficiency &amp; Revenue Optimization Report</w:t>
      </w:r>
    </w:p>
    <w:p>
      <w:pPr>
        <w:pStyle w:val="Normal"/>
        <w:shd w:val="clear" w:fill="1F3A6E"/>
        <w:spacing w:before="0" w:after="320"/>
        <w:jc w:val="center"/>
        <w:rPr/>
      </w:pPr>
      <w:r>
        <w:rPr>
          <w:rFonts w:eastAsia="Arial" w:cs="Arial"/>
          <w:color w:val="BFDBFE"/>
          <w:sz w:val="20"/>
          <w:szCs w:val="20"/>
        </w:rPr>
        <w:t>Prepared by Mohammad Asad Rahmani  |  February 2026</w:t>
      </w:r>
    </w:p>
    <w:p>
      <w:pPr>
        <w:pStyle w:val="Normal"/>
        <w:shd w:val="clear" w:fill="1F3A6E"/>
        <w:spacing w:before="0" w:after="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120"/>
        <w:jc w:val="center"/>
        <w:rPr/>
      </w:pPr>
      <w:r>
        <w:rPr>
          <w:rFonts w:eastAsia="Arial" w:cs="Arial"/>
          <w:b/>
          <w:bCs/>
          <w:color w:val="6B7280"/>
          <w:sz w:val="22"/>
          <w:szCs w:val="22"/>
        </w:rPr>
        <w:t>KEY PERFORMANCE SNAPSHOT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40" w:type="dxa"/>
          <w:bottom w:w="120" w:type="dxa"/>
          <w:right w:w="140" w:type="dxa"/>
        </w:tblCellMar>
      </w:tblPr>
      <w:tblGrid>
        <w:gridCol w:w="2340"/>
        <w:gridCol w:w="2340"/>
        <w:gridCol w:w="2340"/>
        <w:gridCol w:w="2339"/>
      </w:tblGrid>
      <w:tr>
        <w:trPr/>
        <w:tc>
          <w:tcPr>
            <w:tcW w:w="2340" w:type="dxa"/>
            <w:tcBorders/>
            <w:shd w:fill="F0FDF4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6A34A"/>
                <w:sz w:val="36"/>
                <w:szCs w:val="36"/>
              </w:rPr>
              <w:t>80%+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6B7280"/>
                <w:sz w:val="18"/>
                <w:szCs w:val="18"/>
              </w:rPr>
              <w:t>Checkout Conversion</w:t>
            </w:r>
          </w:p>
        </w:tc>
        <w:tc>
          <w:tcPr>
            <w:tcW w:w="2340" w:type="dxa"/>
            <w:tcBorders/>
            <w:shd w:fill="FE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DC2626"/>
                <w:sz w:val="36"/>
                <w:szCs w:val="36"/>
              </w:rPr>
              <w:t>~6%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6B7280"/>
                <w:sz w:val="18"/>
                <w:szCs w:val="18"/>
              </w:rPr>
              <w:t>Social Conversion Rate</w:t>
            </w:r>
          </w:p>
        </w:tc>
        <w:tc>
          <w:tcPr>
            <w:tcW w:w="2340" w:type="dxa"/>
            <w:tcBorders/>
            <w:shd w:fill="F0FDF4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6A34A"/>
                <w:sz w:val="36"/>
                <w:szCs w:val="36"/>
              </w:rPr>
              <w:t>13%+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6B7280"/>
                <w:sz w:val="18"/>
                <w:szCs w:val="18"/>
              </w:rPr>
              <w:t>Email Conversion Rate</w:t>
            </w:r>
          </w:p>
        </w:tc>
        <w:tc>
          <w:tcPr>
            <w:tcW w:w="2339" w:type="dxa"/>
            <w:tcBorders/>
            <w:shd w:fill="EEF2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2563EB"/>
                <w:sz w:val="36"/>
                <w:szCs w:val="36"/>
              </w:rPr>
              <w:t>$115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6B7280"/>
                <w:sz w:val="18"/>
                <w:szCs w:val="18"/>
              </w:rPr>
              <w:t>Average Order Value</w:t>
            </w:r>
          </w:p>
        </w:tc>
      </w:tr>
    </w:tbl>
    <w:p>
      <w:pPr>
        <w:pStyle w:val="Normal"/>
        <w:spacing w:before="0" w:after="240"/>
        <w:rPr/>
      </w:pPr>
      <w:r>
        <w:rPr/>
      </w:r>
    </w:p>
    <w:p>
      <w:pPr>
        <w:pStyle w:val="Normal"/>
        <w:pBdr>
          <w:bottom w:val="single" w:sz="6" w:space="1" w:color="2563EB"/>
        </w:pBdr>
        <w:shd w:val="clear" w:fill="1F3A6E"/>
        <w:spacing w:before="240" w:after="160"/>
        <w:ind w:left="160" w:right="160"/>
        <w:rPr/>
      </w:pPr>
      <w:r>
        <w:rPr>
          <w:rFonts w:eastAsia="Arial" w:cs="Arial"/>
          <w:b/>
          <w:bCs/>
          <w:color w:val="FFFFFF"/>
          <w:sz w:val="20"/>
          <w:szCs w:val="20"/>
        </w:rPr>
        <w:t>01 — EXECUTIVE SUMMARY</w:t>
      </w:r>
    </w:p>
    <w:p>
      <w:pPr>
        <w:pStyle w:val="Normal"/>
        <w:spacing w:before="0" w:after="100"/>
        <w:rPr/>
      </w:pPr>
      <w:r>
        <w:rPr/>
      </w:r>
    </w:p>
    <w:p>
      <w:pPr>
        <w:pStyle w:val="Normal"/>
        <w:spacing w:before="0" w:after="100"/>
        <w:rPr/>
      </w:pPr>
      <w:r>
        <w:rPr>
          <w:rFonts w:eastAsia="Arial" w:cs="Arial"/>
          <w:color w:val="374151"/>
          <w:sz w:val="22"/>
          <w:szCs w:val="22"/>
        </w:rPr>
        <w:t>The company demonstrated strong checkout performance, with over 80% conversion from checkout start to purchase. However, overall revenue growth was constrained by inefficient traffic acquisition — particularly from Social Media, which drove high volume (approximately 30% of traffic) but delivered low conversion rates of only ~6%.</w:t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0" w:after="100"/>
        <w:rPr/>
      </w:pPr>
      <w:r>
        <w:rPr>
          <w:rFonts w:eastAsia="Arial" w:cs="Arial"/>
          <w:color w:val="374151"/>
          <w:sz w:val="22"/>
          <w:szCs w:val="22"/>
        </w:rPr>
        <w:t>Our analysis identified misaligned marketing spend and a lack of CAC discipline as the primary profitability risks. The strategic response focuses on four pillars:</w:t>
      </w:r>
    </w:p>
    <w:p>
      <w:pPr>
        <w:pStyle w:val="Normal"/>
        <w:spacing w:before="0" w:after="60"/>
        <w:rPr/>
      </w:pPr>
      <w:r>
        <w:rPr/>
      </w:r>
    </w:p>
    <w:p>
      <w:pPr>
        <w:pStyle w:val="ListParagraph"/>
        <w:numPr>
          <w:ilvl w:val="0"/>
          <w:numId w:val="3"/>
        </w:numPr>
        <w:spacing w:before="0" w:after="80"/>
        <w:rPr/>
      </w:pPr>
      <w:r>
        <w:rPr>
          <w:rFonts w:eastAsia="Arial" w:cs="Arial"/>
          <w:color w:val="374151"/>
          <w:sz w:val="22"/>
          <w:szCs w:val="22"/>
        </w:rPr>
        <w:t>Reallocating budget from low-efficiency social traffic to high-intent retargeting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374151"/>
          <w:sz w:val="22"/>
          <w:szCs w:val="22"/>
        </w:rPr>
        <w:t>Scaling email marketing — the highest-converting channel at 13%+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374151"/>
          <w:sz w:val="22"/>
          <w:szCs w:val="22"/>
        </w:rPr>
        <w:t>Implementing CAC guardrails aligned with Average Order Value ($115)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374151"/>
          <w:sz w:val="22"/>
          <w:szCs w:val="22"/>
        </w:rPr>
        <w:t>Shifting organisational focus from traffic volume to unit economics and profitability</w:t>
      </w:r>
    </w:p>
    <w:p>
      <w:pPr>
        <w:pStyle w:val="Normal"/>
        <w:spacing w:before="0" w:after="240"/>
        <w:rPr/>
      </w:pPr>
      <w:r>
        <w:rPr/>
      </w:r>
    </w:p>
    <w:p>
      <w:pPr>
        <w:pStyle w:val="Normal"/>
        <w:pBdr>
          <w:bottom w:val="single" w:sz="6" w:space="1" w:color="2563EB"/>
        </w:pBdr>
        <w:shd w:val="clear" w:fill="1F3A6E"/>
        <w:spacing w:before="240" w:after="160"/>
        <w:ind w:left="160" w:right="160"/>
        <w:rPr/>
      </w:pPr>
      <w:r>
        <w:rPr>
          <w:rFonts w:eastAsia="Arial" w:cs="Arial"/>
          <w:b/>
          <w:bCs/>
          <w:color w:val="FFFFFF"/>
          <w:sz w:val="20"/>
          <w:szCs w:val="20"/>
        </w:rPr>
        <w:t>02 — PROBLEM STATEMENT</w:t>
      </w:r>
    </w:p>
    <w:p>
      <w:pPr>
        <w:pStyle w:val="Normal"/>
        <w:spacing w:before="0" w:after="100"/>
        <w:rPr/>
      </w:pPr>
      <w:r>
        <w:rPr/>
      </w:r>
    </w:p>
    <w:p>
      <w:pPr>
        <w:pStyle w:val="Normal"/>
        <w:spacing w:before="0" w:after="100"/>
        <w:rPr/>
      </w:pPr>
      <w:r>
        <w:rPr>
          <w:rFonts w:eastAsia="Arial" w:cs="Arial"/>
          <w:color w:val="374151"/>
          <w:sz w:val="22"/>
          <w:szCs w:val="22"/>
        </w:rPr>
        <w:t>Despite healthy traffic levels, profitability was at risk due to structural inefficiencies in the marketing mix. Four root causes were identified: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4680"/>
        <w:gridCol w:w="4679"/>
      </w:tblGrid>
      <w:tr>
        <w:trPr/>
        <w:tc>
          <w:tcPr>
            <w:tcW w:w="468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DC2626"/>
                <w:sz w:val="21"/>
                <w:szCs w:val="21"/>
              </w:rPr>
              <w:t>Over-Investment in Social</w:t>
            </w:r>
          </w:p>
          <w:p>
            <w:pPr>
              <w:pStyle w:val="Normal"/>
              <w:spacing w:before="40" w:after="0"/>
              <w:rPr/>
            </w:pPr>
            <w:r>
              <w:rPr>
                <w:rFonts w:eastAsia="Arial" w:cs="Arial"/>
                <w:color w:val="374151"/>
                <w:sz w:val="20"/>
                <w:szCs w:val="20"/>
              </w:rPr>
              <w:t>~30% of traffic from social but only ~6% conversion rate, inflating CAC.</w:t>
            </w:r>
          </w:p>
        </w:tc>
        <w:tc>
          <w:tcPr>
            <w:tcW w:w="467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E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DC2626"/>
                <w:sz w:val="21"/>
                <w:szCs w:val="21"/>
              </w:rPr>
              <w:t>No CAC Governance</w:t>
            </w:r>
          </w:p>
          <w:p>
            <w:pPr>
              <w:pStyle w:val="Normal"/>
              <w:spacing w:before="40" w:after="0"/>
              <w:rPr/>
            </w:pPr>
            <w:r>
              <w:rPr>
                <w:rFonts w:eastAsia="Arial" w:cs="Arial"/>
                <w:color w:val="374151"/>
                <w:sz w:val="20"/>
                <w:szCs w:val="20"/>
              </w:rPr>
              <w:t>Absence of strict per-channel CAC thresholds leading to unchecked acquisition spend.</w:t>
            </w:r>
          </w:p>
        </w:tc>
      </w:tr>
      <w:tr>
        <w:trPr/>
        <w:tc>
          <w:tcPr>
            <w:tcW w:w="468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7E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D97706"/>
                <w:sz w:val="21"/>
                <w:szCs w:val="21"/>
              </w:rPr>
              <w:t>Under-Leveraged Email</w:t>
            </w:r>
          </w:p>
          <w:p>
            <w:pPr>
              <w:pStyle w:val="Normal"/>
              <w:spacing w:before="40" w:after="0"/>
              <w:rPr/>
            </w:pPr>
            <w:r>
              <w:rPr>
                <w:rFonts w:eastAsia="Arial" w:cs="Arial"/>
                <w:color w:val="374151"/>
                <w:sz w:val="20"/>
                <w:szCs w:val="20"/>
              </w:rPr>
              <w:t>Email achieves 13%+ conversion but remains under-invested relative to its performance.</w:t>
            </w:r>
          </w:p>
        </w:tc>
        <w:tc>
          <w:tcPr>
            <w:tcW w:w="467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7E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D97706"/>
                <w:sz w:val="21"/>
                <w:szCs w:val="21"/>
              </w:rPr>
              <w:t>AOV-CAC Misalignment</w:t>
            </w:r>
          </w:p>
          <w:p>
            <w:pPr>
              <w:pStyle w:val="Normal"/>
              <w:spacing w:before="40" w:after="0"/>
              <w:rPr/>
            </w:pPr>
            <w:r>
              <w:rPr>
                <w:rFonts w:eastAsia="Arial" w:cs="Arial"/>
                <w:color w:val="374151"/>
                <w:sz w:val="20"/>
                <w:szCs w:val="20"/>
              </w:rPr>
              <w:t>No formal link between AOV ($115) and acquisition cost targets across channels.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hd w:val="clear" w:fill="EEF2FF"/>
        <w:spacing w:before="80" w:after="80"/>
        <w:ind w:left="160" w:right="160"/>
        <w:rPr/>
      </w:pPr>
      <w:r>
        <w:rPr>
          <w:rFonts w:eastAsia="Arial" w:cs="Arial"/>
          <w:b/>
          <w:bCs/>
          <w:color w:val="1F3A6E"/>
          <w:sz w:val="22"/>
          <w:szCs w:val="22"/>
        </w:rPr>
        <w:t xml:space="preserve">Core Question:  </w:t>
      </w:r>
      <w:r>
        <w:rPr>
          <w:rFonts w:eastAsia="Arial" w:cs="Arial"/>
          <w:i/>
          <w:iCs/>
          <w:color w:val="374151"/>
          <w:sz w:val="22"/>
          <w:szCs w:val="22"/>
        </w:rPr>
        <w:t>How can we improve marketing efficiency and maximise profit without disrupting a high-performing checkout experience?</w:t>
      </w:r>
    </w:p>
    <w:p>
      <w:pPr>
        <w:pStyle w:val="Normal"/>
        <w:spacing w:before="0" w:after="240"/>
        <w:rPr/>
      </w:pPr>
      <w:r>
        <w:rPr/>
      </w:r>
    </w:p>
    <w:p>
      <w:pPr>
        <w:pStyle w:val="Normal"/>
        <w:pBdr>
          <w:bottom w:val="single" w:sz="6" w:space="1" w:color="2563EB"/>
        </w:pBdr>
        <w:shd w:val="clear" w:fill="1F3A6E"/>
        <w:spacing w:before="240" w:after="160"/>
        <w:ind w:left="160" w:right="160"/>
        <w:rPr/>
      </w:pPr>
      <w:r>
        <w:rPr>
          <w:rFonts w:eastAsia="Arial" w:cs="Arial"/>
          <w:b/>
          <w:bCs/>
          <w:color w:val="FFFFFF"/>
          <w:sz w:val="20"/>
          <w:szCs w:val="20"/>
        </w:rPr>
        <w:t>03 — DATA INSIGHTS</w:t>
      </w:r>
    </w:p>
    <w:p>
      <w:pPr>
        <w:pStyle w:val="Normal"/>
        <w:spacing w:before="0" w:after="100"/>
        <w:rPr/>
      </w:pPr>
      <w:r>
        <w:rPr/>
      </w:r>
    </w:p>
    <w:p>
      <w:pPr>
        <w:pStyle w:val="Heading2"/>
        <w:pBdr>
          <w:bottom w:val="single" w:sz="4" w:space="4" w:color="2563EB"/>
        </w:pBdr>
        <w:spacing w:before="200" w:after="100"/>
        <w:rPr/>
      </w:pPr>
      <w:r>
        <w:rPr>
          <w:rFonts w:eastAsia="Arial" w:cs="Arial" w:ascii="Arial" w:hAnsi="Arial"/>
          <w:b/>
          <w:bCs/>
          <w:color w:val="1F3A6E"/>
          <w:sz w:val="26"/>
          <w:szCs w:val="26"/>
        </w:rPr>
        <w:t>Funnel Conversion Analysis</w:t>
      </w:r>
    </w:p>
    <w:p>
      <w:pPr>
        <w:pStyle w:val="Normal"/>
        <w:spacing w:before="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9"/>
        <w:gridCol w:w="2000"/>
        <w:gridCol w:w="2001"/>
        <w:gridCol w:w="3159"/>
      </w:tblGrid>
      <w:tr>
        <w:trPr>
          <w:tblHeader w:val="true"/>
        </w:trPr>
        <w:tc>
          <w:tcPr>
            <w:tcW w:w="21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1F3A6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Traffic Source</w:t>
            </w:r>
          </w:p>
        </w:tc>
        <w:tc>
          <w:tcPr>
            <w:tcW w:w="2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1F3A6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Volume Share</w:t>
            </w:r>
          </w:p>
        </w:tc>
        <w:tc>
          <w:tcPr>
            <w:tcW w:w="2001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1F3A6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Conversion Rate</w:t>
            </w:r>
          </w:p>
        </w:tc>
        <w:tc>
          <w:tcPr>
            <w:tcW w:w="315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1F3A6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Verdict</w:t>
            </w:r>
          </w:p>
        </w:tc>
      </w:tr>
      <w:tr>
        <w:trPr/>
        <w:tc>
          <w:tcPr>
            <w:tcW w:w="21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3A6E"/>
                <w:sz w:val="20"/>
                <w:szCs w:val="20"/>
              </w:rPr>
              <w:t>Email</w:t>
            </w:r>
          </w:p>
        </w:tc>
        <w:tc>
          <w:tcPr>
            <w:tcW w:w="2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374151"/>
                <w:sz w:val="20"/>
                <w:szCs w:val="20"/>
              </w:rPr>
              <w:t>Low–Med</w:t>
            </w:r>
          </w:p>
        </w:tc>
        <w:tc>
          <w:tcPr>
            <w:tcW w:w="2001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6A34A"/>
                <w:sz w:val="20"/>
                <w:szCs w:val="20"/>
              </w:rPr>
              <w:t>~13%+</w:t>
            </w:r>
          </w:p>
        </w:tc>
        <w:tc>
          <w:tcPr>
            <w:tcW w:w="315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6A34A"/>
                <w:sz w:val="20"/>
                <w:szCs w:val="20"/>
              </w:rPr>
              <w:t>Highest performing channel. Scale immediately.</w:t>
            </w:r>
          </w:p>
        </w:tc>
      </w:tr>
      <w:tr>
        <w:trPr/>
        <w:tc>
          <w:tcPr>
            <w:tcW w:w="21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3A6E"/>
                <w:sz w:val="20"/>
                <w:szCs w:val="20"/>
              </w:rPr>
              <w:t>Organic</w:t>
            </w:r>
          </w:p>
        </w:tc>
        <w:tc>
          <w:tcPr>
            <w:tcW w:w="2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374151"/>
                <w:sz w:val="20"/>
                <w:szCs w:val="20"/>
              </w:rPr>
              <w:t>Medium</w:t>
            </w:r>
          </w:p>
        </w:tc>
        <w:tc>
          <w:tcPr>
            <w:tcW w:w="2001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6A34A"/>
                <w:sz w:val="20"/>
                <w:szCs w:val="20"/>
              </w:rPr>
              <w:t>~9–10%</w:t>
            </w:r>
          </w:p>
        </w:tc>
        <w:tc>
          <w:tcPr>
            <w:tcW w:w="315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6A34A"/>
                <w:sz w:val="20"/>
                <w:szCs w:val="20"/>
              </w:rPr>
              <w:t>Strong intent signals. Invest in SEO content.</w:t>
            </w:r>
          </w:p>
        </w:tc>
      </w:tr>
      <w:tr>
        <w:trPr/>
        <w:tc>
          <w:tcPr>
            <w:tcW w:w="21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3A6E"/>
                <w:sz w:val="20"/>
                <w:szCs w:val="20"/>
              </w:rPr>
              <w:t>Paid Search</w:t>
            </w:r>
          </w:p>
        </w:tc>
        <w:tc>
          <w:tcPr>
            <w:tcW w:w="2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374151"/>
                <w:sz w:val="20"/>
                <w:szCs w:val="20"/>
              </w:rPr>
              <w:t>Medium</w:t>
            </w:r>
          </w:p>
        </w:tc>
        <w:tc>
          <w:tcPr>
            <w:tcW w:w="2001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D97706"/>
                <w:sz w:val="20"/>
                <w:szCs w:val="20"/>
              </w:rPr>
              <w:t>~8–9%</w:t>
            </w:r>
          </w:p>
        </w:tc>
        <w:tc>
          <w:tcPr>
            <w:tcW w:w="315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D97706"/>
                <w:sz w:val="20"/>
                <w:szCs w:val="20"/>
              </w:rPr>
              <w:t>Moderate ROI. Tighten keyword targeting.</w:t>
            </w:r>
          </w:p>
        </w:tc>
      </w:tr>
      <w:tr>
        <w:trPr/>
        <w:tc>
          <w:tcPr>
            <w:tcW w:w="21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3A6E"/>
                <w:sz w:val="20"/>
                <w:szCs w:val="20"/>
              </w:rPr>
              <w:t>Social Media</w:t>
            </w:r>
          </w:p>
        </w:tc>
        <w:tc>
          <w:tcPr>
            <w:tcW w:w="2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374151"/>
                <w:sz w:val="20"/>
                <w:szCs w:val="20"/>
              </w:rPr>
              <w:t>~30%</w:t>
            </w:r>
          </w:p>
        </w:tc>
        <w:tc>
          <w:tcPr>
            <w:tcW w:w="2001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DC2626"/>
                <w:sz w:val="20"/>
                <w:szCs w:val="20"/>
              </w:rPr>
              <w:t>~6%</w:t>
            </w:r>
          </w:p>
        </w:tc>
        <w:tc>
          <w:tcPr>
            <w:tcW w:w="315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DC2626"/>
                <w:sz w:val="20"/>
                <w:szCs w:val="20"/>
              </w:rPr>
              <w:t>High volume, low quality. Reduce spend, shift to retargeting.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pBdr>
          <w:bottom w:val="single" w:sz="4" w:space="4" w:color="2563EB"/>
        </w:pBdr>
        <w:spacing w:before="200" w:after="100"/>
        <w:rPr/>
      </w:pPr>
      <w:r>
        <w:rPr>
          <w:rFonts w:eastAsia="Arial" w:cs="Arial" w:ascii="Arial" w:hAnsi="Arial"/>
          <w:b/>
          <w:bCs/>
          <w:color w:val="1F3A6E"/>
          <w:sz w:val="26"/>
          <w:szCs w:val="26"/>
        </w:rPr>
        <w:t>Key Interpretation</w:t>
      </w:r>
    </w:p>
    <w:p>
      <w:pPr>
        <w:pStyle w:val="Normal"/>
        <w:spacing w:before="0" w:after="60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374151"/>
          <w:sz w:val="22"/>
          <w:szCs w:val="22"/>
        </w:rPr>
        <w:t>Checkout conversion (80%+) is a competitive strength — do not restructure it.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374151"/>
          <w:sz w:val="22"/>
          <w:szCs w:val="22"/>
        </w:rPr>
        <w:t>Traffic quality, not UX, is the primary constraint on revenue.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374151"/>
          <w:sz w:val="22"/>
          <w:szCs w:val="22"/>
        </w:rPr>
        <w:t>Marketing mix rebalancing offers the highest ROI opportunity available.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374151"/>
          <w:sz w:val="22"/>
          <w:szCs w:val="22"/>
        </w:rPr>
        <w:t>Email is 2x more efficient than Social — every dollar shifted generates outsized return.</w:t>
      </w:r>
    </w:p>
    <w:p>
      <w:pPr>
        <w:pStyle w:val="Normal"/>
        <w:spacing w:before="0" w:after="240"/>
        <w:rPr/>
      </w:pPr>
      <w:r>
        <w:rPr/>
      </w:r>
    </w:p>
    <w:p>
      <w:pPr>
        <w:pStyle w:val="Normal"/>
        <w:pBdr>
          <w:bottom w:val="single" w:sz="6" w:space="1" w:color="2563EB"/>
        </w:pBdr>
        <w:shd w:val="clear" w:fill="1F3A6E"/>
        <w:spacing w:before="240" w:after="160"/>
        <w:ind w:left="160" w:right="160"/>
        <w:rPr/>
      </w:pPr>
      <w:r>
        <w:rPr>
          <w:rFonts w:eastAsia="Arial" w:cs="Arial"/>
          <w:b/>
          <w:bCs/>
          <w:color w:val="FFFFFF"/>
          <w:sz w:val="20"/>
          <w:szCs w:val="20"/>
        </w:rPr>
        <w:t>04 — STRATEGIC RECOMMENDATIONS</w:t>
      </w:r>
    </w:p>
    <w:p>
      <w:pPr>
        <w:pStyle w:val="Normal"/>
        <w:spacing w:before="0" w:after="10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99"/>
        <w:gridCol w:w="3480"/>
        <w:gridCol w:w="3481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1F3A6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348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1F3A6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Actions</w:t>
            </w:r>
          </w:p>
        </w:tc>
        <w:tc>
          <w:tcPr>
            <w:tcW w:w="3481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1F3A6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Expected Outcome</w:t>
            </w:r>
          </w:p>
        </w:tc>
      </w:tr>
      <w:tr>
        <w:trPr/>
        <w:tc>
          <w:tcPr>
            <w:tcW w:w="23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3A6E"/>
                <w:sz w:val="20"/>
                <w:szCs w:val="20"/>
              </w:rPr>
              <w:t>A. Preserve Checkout</w:t>
            </w:r>
          </w:p>
        </w:tc>
        <w:tc>
          <w:tcPr>
            <w:tcW w:w="348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20"/>
                <w:szCs w:val="20"/>
              </w:rPr>
              <w:t>No structural redesign. Optimise upstream (traffic &amp; targeting) instead. Monitor checkout metrics monthly.</w:t>
            </w:r>
          </w:p>
        </w:tc>
        <w:tc>
          <w:tcPr>
            <w:tcW w:w="3481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6A34A"/>
                <w:sz w:val="20"/>
                <w:szCs w:val="20"/>
              </w:rPr>
              <w:t>Protect existing 80%+ conversion. Avoid regression risk.</w:t>
            </w:r>
          </w:p>
        </w:tc>
      </w:tr>
      <w:tr>
        <w:trPr/>
        <w:tc>
          <w:tcPr>
            <w:tcW w:w="23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3A6E"/>
                <w:sz w:val="20"/>
                <w:szCs w:val="20"/>
              </w:rPr>
              <w:t>B. Rebalance Social Spend</w:t>
            </w:r>
          </w:p>
        </w:tc>
        <w:tc>
          <w:tcPr>
            <w:tcW w:w="348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20"/>
                <w:szCs w:val="20"/>
              </w:rPr>
              <w:t>Reduce awareness campaigns. Shift budget to retargeting &amp; lookalike audiences. Exclude low-intent segments. Optimise creatives for purchase intent.</w:t>
            </w:r>
          </w:p>
        </w:tc>
        <w:tc>
          <w:tcPr>
            <w:tcW w:w="3481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6A34A"/>
                <w:sz w:val="20"/>
                <w:szCs w:val="20"/>
              </w:rPr>
              <w:t>Improved conversion rate. Lower blended CAC. Higher ROAS.</w:t>
            </w:r>
          </w:p>
        </w:tc>
      </w:tr>
      <w:tr>
        <w:trPr/>
        <w:tc>
          <w:tcPr>
            <w:tcW w:w="23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3A6E"/>
                <w:sz w:val="20"/>
                <w:szCs w:val="20"/>
              </w:rPr>
              <w:t>C. Scale Email Revenue</w:t>
            </w:r>
          </w:p>
        </w:tc>
        <w:tc>
          <w:tcPr>
            <w:tcW w:w="348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20"/>
                <w:szCs w:val="20"/>
              </w:rPr>
              <w:t>Aggressive email capture (exit popups, discounts). Deploy welcome, cart abandonment, post-purchase upsell &amp; win-back flows. Segment by lifecycle stage.</w:t>
            </w:r>
          </w:p>
        </w:tc>
        <w:tc>
          <w:tcPr>
            <w:tcW w:w="3481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8FAFC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6A34A"/>
                <w:sz w:val="20"/>
                <w:szCs w:val="20"/>
              </w:rPr>
              <w:t>Higher LTV. Lower acquisition dependency. Increased repeat purchase rate.</w:t>
            </w:r>
          </w:p>
        </w:tc>
      </w:tr>
      <w:tr>
        <w:trPr/>
        <w:tc>
          <w:tcPr>
            <w:tcW w:w="23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3A6E"/>
                <w:sz w:val="20"/>
                <w:szCs w:val="20"/>
              </w:rPr>
              <w:t>D. CAC Governance</w:t>
            </w:r>
          </w:p>
        </w:tc>
        <w:tc>
          <w:tcPr>
            <w:tcW w:w="348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20"/>
                <w:szCs w:val="20"/>
              </w:rPr>
              <w:t>Set strict per-channel CAC ceiling of $30-$40 (vs $115 AOV). Pause unprofitable campaigns. Track contribution margin per order weekly.</w:t>
            </w:r>
          </w:p>
        </w:tc>
        <w:tc>
          <w:tcPr>
            <w:tcW w:w="3481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FFF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6A34A"/>
                <w:sz w:val="20"/>
                <w:szCs w:val="20"/>
              </w:rPr>
              <w:t>Sustainable unit economics. Predictable scaling. Profit-driven growth.</w:t>
            </w:r>
          </w:p>
        </w:tc>
      </w:tr>
    </w:tbl>
    <w:p>
      <w:pPr>
        <w:pStyle w:val="Normal"/>
        <w:spacing w:before="0" w:after="240"/>
        <w:rPr/>
      </w:pPr>
      <w:r>
        <w:rPr/>
      </w:r>
    </w:p>
    <w:p>
      <w:pPr>
        <w:pStyle w:val="Normal"/>
        <w:pBdr>
          <w:bottom w:val="single" w:sz="6" w:space="1" w:color="2563EB"/>
        </w:pBdr>
        <w:shd w:val="clear" w:fill="1F3A6E"/>
        <w:spacing w:before="240" w:after="160"/>
        <w:ind w:left="160" w:right="160"/>
        <w:rPr/>
      </w:pPr>
      <w:r>
        <w:rPr>
          <w:rFonts w:eastAsia="Arial" w:cs="Arial"/>
          <w:b/>
          <w:bCs/>
          <w:color w:val="FFFFFF"/>
          <w:sz w:val="20"/>
          <w:szCs w:val="20"/>
        </w:rPr>
        <w:t>05 — PROJECTED BUSINESS IMPACT</w:t>
      </w:r>
    </w:p>
    <w:p>
      <w:pPr>
        <w:pStyle w:val="Normal"/>
        <w:spacing w:before="0" w:after="100"/>
        <w:rPr/>
      </w:pPr>
      <w:r>
        <w:rPr/>
      </w:r>
    </w:p>
    <w:p>
      <w:pPr>
        <w:pStyle w:val="Normal"/>
        <w:spacing w:before="0" w:after="100"/>
        <w:rPr/>
      </w:pPr>
      <w:r>
        <w:rPr>
          <w:rFonts w:eastAsia="Arial" w:cs="Arial"/>
          <w:color w:val="374151"/>
          <w:sz w:val="22"/>
          <w:szCs w:val="22"/>
        </w:rPr>
        <w:t>If the above recommendations are implemented with discipline over a 60–90 day window, the following outcomes are projected: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40" w:type="dxa"/>
          <w:bottom w:w="120" w:type="dxa"/>
          <w:right w:w="140" w:type="dxa"/>
        </w:tblCellMar>
      </w:tblPr>
      <w:tblGrid>
        <w:gridCol w:w="2340"/>
        <w:gridCol w:w="2340"/>
        <w:gridCol w:w="2340"/>
        <w:gridCol w:w="2339"/>
      </w:tblGrid>
      <w:tr>
        <w:trPr/>
        <w:tc>
          <w:tcPr>
            <w:tcW w:w="2340" w:type="dxa"/>
            <w:tcBorders/>
            <w:shd w:fill="F0FDF4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6A34A"/>
                <w:sz w:val="36"/>
                <w:szCs w:val="36"/>
              </w:rPr>
              <w:t>15–25%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6B7280"/>
                <w:sz w:val="18"/>
                <w:szCs w:val="18"/>
              </w:rPr>
              <w:t>Reduction in Blended CAC</w:t>
            </w:r>
          </w:p>
        </w:tc>
        <w:tc>
          <w:tcPr>
            <w:tcW w:w="2340" w:type="dxa"/>
            <w:tcBorders/>
            <w:shd w:fill="F0FDF4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6A34A"/>
                <w:sz w:val="36"/>
                <w:szCs w:val="36"/>
              </w:rPr>
              <w:t>20–30%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6B7280"/>
                <w:sz w:val="18"/>
                <w:szCs w:val="18"/>
              </w:rPr>
              <w:t>Increase in Marketing ROI</w:t>
            </w:r>
          </w:p>
        </w:tc>
        <w:tc>
          <w:tcPr>
            <w:tcW w:w="2340" w:type="dxa"/>
            <w:tcBorders/>
            <w:shd w:fill="EEF2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2563EB"/>
                <w:sz w:val="36"/>
                <w:szCs w:val="36"/>
              </w:rPr>
              <w:t>$30–$40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6B7280"/>
                <w:sz w:val="18"/>
                <w:szCs w:val="18"/>
              </w:rPr>
              <w:t>Target CAC Range</w:t>
            </w:r>
          </w:p>
        </w:tc>
        <w:tc>
          <w:tcPr>
            <w:tcW w:w="2339" w:type="dxa"/>
            <w:tcBorders/>
            <w:shd w:fill="EEF2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2563EB"/>
                <w:sz w:val="36"/>
                <w:szCs w:val="36"/>
              </w:rPr>
              <w:t>Improved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6B7280"/>
                <w:sz w:val="18"/>
                <w:szCs w:val="18"/>
              </w:rPr>
              <w:t>LTV/CAC Ratio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374151"/>
          <w:sz w:val="22"/>
          <w:szCs w:val="22"/>
        </w:rPr>
        <w:t>Higher email-driven revenue share as a percentage of total revenue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374151"/>
          <w:sz w:val="22"/>
          <w:szCs w:val="22"/>
        </w:rPr>
        <w:t>More stable and scalable growth model not dependent on high-cost paid social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374151"/>
          <w:sz w:val="22"/>
          <w:szCs w:val="22"/>
        </w:rPr>
        <w:t>Improved contribution margin per order due to lower blended acquisition cost</w:t>
      </w:r>
    </w:p>
    <w:p>
      <w:pPr>
        <w:pStyle w:val="Normal"/>
        <w:spacing w:before="0" w:after="240"/>
        <w:rPr/>
      </w:pPr>
      <w:r>
        <w:rPr/>
      </w:r>
    </w:p>
    <w:p>
      <w:pPr>
        <w:pStyle w:val="Normal"/>
        <w:pBdr>
          <w:bottom w:val="single" w:sz="6" w:space="1" w:color="2563EB"/>
        </w:pBdr>
        <w:shd w:val="clear" w:fill="1F3A6E"/>
        <w:spacing w:before="240" w:after="160"/>
        <w:ind w:left="160" w:right="160"/>
        <w:rPr/>
      </w:pPr>
      <w:r>
        <w:rPr>
          <w:rFonts w:eastAsia="Arial" w:cs="Arial"/>
          <w:b/>
          <w:bCs/>
          <w:color w:val="FFFFFF"/>
          <w:sz w:val="20"/>
          <w:szCs w:val="20"/>
        </w:rPr>
        <w:t>06 — KEY CONSULTING TAKEAWAY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hd w:val="clear" w:fill="1F3A6E"/>
        <w:spacing w:before="200" w:after="200"/>
        <w:ind w:left="240" w:right="240"/>
        <w:jc w:val="center"/>
        <w:rPr/>
      </w:pPr>
      <w:r>
        <w:rPr>
          <w:rFonts w:eastAsia="Arial" w:cs="Arial"/>
          <w:b/>
          <w:bCs/>
          <w:color w:val="FFFFFF"/>
          <w:sz w:val="28"/>
          <w:szCs w:val="28"/>
        </w:rPr>
        <w:t>Revenue growth does not come from increasing traffic — it comes from improving traffic quality and enforcing financial discipline.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00"/>
        <w:rPr/>
      </w:pPr>
      <w:r>
        <w:rPr>
          <w:rFonts w:eastAsia="Arial" w:cs="Arial"/>
          <w:color w:val="374151"/>
          <w:sz w:val="22"/>
          <w:szCs w:val="22"/>
        </w:rPr>
        <w:t>This analysis makes clear that the business has a strong operational foundation — the checkout experience is efficient, trust is established, and the product converts well once the right user arrives. The strategic imperative is now entirely upstream: acquire better-fit users, spend within economic guardrails, and leverage the highest-performing channels with compounding investment.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00"/>
        <w:rPr/>
      </w:pPr>
      <w:r>
        <w:rPr>
          <w:rFonts w:eastAsia="Arial" w:cs="Arial"/>
          <w:color w:val="374151"/>
          <w:sz w:val="22"/>
          <w:szCs w:val="22"/>
        </w:rPr>
        <w:t>Execution of these four recommendations positions the business for profitable, sustainable scale — not just volume growth.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pBdr>
          <w:top w:val="single" w:sz="4" w:space="4" w:color="2563EB"/>
        </w:pBdr>
        <w:spacing w:before="80" w:after="0"/>
        <w:jc w:val="right"/>
        <w:rPr/>
      </w:pPr>
      <w:r>
        <w:rPr>
          <w:rFonts w:eastAsia="Arial" w:cs="Arial"/>
          <w:i/>
          <w:iCs/>
          <w:color w:val="6B7280"/>
          <w:sz w:val="18"/>
          <w:szCs w:val="18"/>
        </w:rPr>
        <w:t xml:space="preserve">— </w:t>
      </w:r>
      <w:r>
        <w:rPr>
          <w:rFonts w:eastAsia="Arial" w:cs="Arial"/>
          <w:i/>
          <w:iCs/>
          <w:color w:val="6B7280"/>
          <w:sz w:val="18"/>
          <w:szCs w:val="18"/>
        </w:rPr>
        <w:t xml:space="preserve">Mohammad Asad Rahmani  |  Data &amp; Analytics  |  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080" w:right="1080" w:gutter="0" w:header="708" w:top="1080" w:footer="708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2563EB"/>
      </w:pBdr>
      <w:spacing w:before="80" w:after="0"/>
      <w:rPr/>
    </w:pPr>
    <w:r>
      <w:rPr>
        <w:rFonts w:eastAsia="Arial" w:cs="Arial"/>
        <w:color w:val="6B7280"/>
        <w:sz w:val="16"/>
        <w:szCs w:val="16"/>
      </w:rPr>
      <w:t xml:space="preserve">Mohammad Asad Rahmani  |  @rahmani3101  | 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  <w:r>
      <w:rPr>
        <w:rFonts w:eastAsia="Arial" w:cs="Arial"/>
        <w:color w:val="6B7280"/>
        <w:sz w:val="16"/>
        <w:szCs w:val="16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2563EB"/>
      </w:pBdr>
      <w:spacing w:before="80" w:after="0"/>
      <w:rPr/>
    </w:pPr>
    <w:r>
      <w:rPr>
        <w:rFonts w:eastAsia="Arial" w:cs="Arial"/>
        <w:color w:val="6B7280"/>
        <w:sz w:val="16"/>
        <w:szCs w:val="16"/>
      </w:rPr>
      <w:t xml:space="preserve">Mohammad Asad Rahmani  |  @rahmani3101  | 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  <w:r>
      <w:rPr>
        <w:rFonts w:eastAsia="Arial" w:cs="Arial"/>
        <w:color w:val="6B7280"/>
        <w:sz w:val="16"/>
        <w:szCs w:val="16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1" w:color="2563EB"/>
      </w:pBdr>
      <w:spacing w:before="0" w:after="0"/>
      <w:rPr/>
    </w:pPr>
    <w:r>
      <w:rPr>
        <w:rFonts w:eastAsia="Arial" w:cs="Arial"/>
        <w:color w:val="6B7280"/>
        <w:sz w:val="16"/>
        <w:szCs w:val="16"/>
      </w:rPr>
      <w:t xml:space="preserve">SALES FUNNEL ANALYSIS  |  CONSULTING REPORT  |  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1" w:color="2563EB"/>
      </w:pBdr>
      <w:spacing w:before="0" w:after="0"/>
      <w:rPr/>
    </w:pPr>
    <w:r>
      <w:rPr>
        <w:rFonts w:eastAsia="Arial" w:cs="Arial"/>
        <w:color w:val="6B7280"/>
        <w:sz w:val="16"/>
        <w:szCs w:val="16"/>
      </w:rPr>
      <w:t xml:space="preserve">SALES FUNNEL ANALYSIS  |  CONSULTING REPORT  |  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600" w:hanging="300"/>
      </w:pPr>
      <w:rPr>
        <w:rFonts w:ascii="Symbol" w:hAnsi="Symbol" w:cs="Symbol" w:hint="default"/>
        <w:color w:val="2563EB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00" w:hanging="30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1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0" w:after="120"/>
      <w:outlineLvl w:val="0"/>
    </w:pPr>
    <w:rPr>
      <w:rFonts w:ascii="Arial" w:hAnsi="Arial" w:eastAsia="Arial" w:cs="Arial"/>
      <w:b/>
      <w:bCs/>
      <w:color w:val="FFFFFF"/>
      <w:sz w:val="40"/>
      <w:szCs w:val="40"/>
    </w:rPr>
  </w:style>
  <w:style w:type="paragraph" w:styleId="Heading2">
    <w:name w:val="heading 2"/>
    <w:basedOn w:val="Heading"/>
    <w:qFormat/>
    <w:pPr>
      <w:spacing w:before="200" w:after="100"/>
      <w:outlineLvl w:val="1"/>
    </w:pPr>
    <w:rPr>
      <w:rFonts w:ascii="Arial" w:hAnsi="Arial" w:eastAsia="Arial" w:cs="Arial"/>
      <w:b/>
      <w:bCs/>
      <w:color w:val="1F3A6E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LibreOffice/25.2.7.2$Linux_X86_64 LibreOffice_project/520$Build-2</Application>
  <AppVersion>15.0000</AppVersion>
  <Pages>3</Pages>
  <Words>666</Words>
  <Characters>4112</Characters>
  <CharactersWithSpaces>4697</CharactersWithSpaces>
  <Paragraphs>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2026-02-20T18:54:03Z</dcterms:created>
  <dc:creator>Un-named</dc:creator>
  <dc:description/>
  <dc:language>en-US</dc:language>
  <cp:lastModifiedBy/>
  <dcterms:modified xsi:type="dcterms:W3CDTF">2026-02-21T00:26:03Z</dcterms:modified>
  <cp:revision>2</cp:revision>
  <dc:subject/>
  <dc:title/>
</cp:coreProperties>
</file>