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Ножницы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Лезвия ( левое и правое)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Ручка пластик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Крепёж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Колесо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Камера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Шина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Спицы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Металическая основа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Ракета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Каркас (метал)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Трубы откуда идёт огонь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Головная часть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Опора уличного освещения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Опора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Кронштейн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Светильник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Кабель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Комплектующие (зажимы)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Чайник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Металическое основание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Крышка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Ручка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