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Calibri" w:hAnsi="Calibri"/>
          <w:b/>
          <w:color w:val="0F172A"/>
          <w:sz w:val="44"/>
        </w:rPr>
        <w:t>DOKUMEN SPESIFIKASI &amp; DESKRIPSI FITUR</w:t>
        <w:br/>
        <w:t>RE-DESIGN PORTAL BMKG CUACA</w:t>
      </w:r>
    </w:p>
    <w:p>
      <w:pPr>
        <w:spacing w:after="720"/>
        <w:jc w:val="center"/>
      </w:pPr>
      <w:r>
        <w:rPr>
          <w:rFonts w:ascii="Calibri" w:hAnsi="Calibri"/>
          <w:i/>
          <w:color w:val="0284C7"/>
          <w:sz w:val="24"/>
        </w:rPr>
        <w:t>Penjelasan Komparatif Komponen Kartu (Cards), Panel, Laci (Drawers), Mode Tema &amp; Gradien Spesifik</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80" w:type="dxa"/>
              <w:right w:w="80" w:type="dxa"/>
            </w:tcMar>
          </w:tcPr>
          <w:p>
            <w:r>
              <w:rPr>
                <w:rFonts w:ascii="Calibri" w:hAnsi="Calibri"/>
                <w:b/>
                <w:color w:val="0F172A"/>
                <w:sz w:val="21"/>
              </w:rPr>
              <w:t>Nama Proyek:</w:t>
            </w:r>
          </w:p>
        </w:tc>
        <w:tc>
          <w:tcPr>
            <w:tcW w:type="dxa" w:w="6192"/>
            <w:tcMar>
              <w:top w:w="50" w:type="dxa"/>
              <w:bottom w:w="50" w:type="dxa"/>
              <w:left w:w="80" w:type="dxa"/>
              <w:right w:w="80" w:type="dxa"/>
            </w:tcMar>
          </w:tcPr>
          <w:p>
            <w:r>
              <w:rPr>
                <w:rFonts w:ascii="Calibri" w:hAnsi="Calibri"/>
                <w:color w:val="334155"/>
                <w:sz w:val="21"/>
              </w:rPr>
              <w:t>BMKG Cuaca (Redesain Portal Cuaca Publik)</w:t>
            </w:r>
          </w:p>
        </w:tc>
      </w:tr>
      <w:tr>
        <w:tc>
          <w:tcPr>
            <w:tcW w:type="dxa" w:w="3168"/>
            <w:tcMar>
              <w:top w:w="50" w:type="dxa"/>
              <w:bottom w:w="50" w:type="dxa"/>
              <w:left w:w="80" w:type="dxa"/>
              <w:right w:w="80" w:type="dxa"/>
            </w:tcMar>
          </w:tcPr>
          <w:p>
            <w:r>
              <w:rPr>
                <w:rFonts w:ascii="Calibri" w:hAnsi="Calibri"/>
                <w:b/>
                <w:color w:val="0F172A"/>
                <w:sz w:val="21"/>
              </w:rPr>
              <w:t>Tujuan Dokumen:</w:t>
            </w:r>
          </w:p>
        </w:tc>
        <w:tc>
          <w:tcPr>
            <w:tcW w:type="dxa" w:w="6192"/>
            <w:tcMar>
              <w:top w:w="50" w:type="dxa"/>
              <w:bottom w:w="50" w:type="dxa"/>
              <w:left w:w="80" w:type="dxa"/>
              <w:right w:w="80" w:type="dxa"/>
            </w:tcMar>
          </w:tcPr>
          <w:p>
            <w:r>
              <w:rPr>
                <w:rFonts w:ascii="Calibri" w:hAnsi="Calibri"/>
                <w:color w:val="334155"/>
                <w:sz w:val="21"/>
              </w:rPr>
              <w:t>Dokumentasi Fitur Teknis &amp; Konseptual Tanpa Media Gambar</w:t>
            </w:r>
          </w:p>
        </w:tc>
      </w:tr>
      <w:tr>
        <w:tc>
          <w:tcPr>
            <w:tcW w:type="dxa" w:w="3168"/>
            <w:tcMar>
              <w:top w:w="50" w:type="dxa"/>
              <w:bottom w:w="50" w:type="dxa"/>
              <w:left w:w="80" w:type="dxa"/>
              <w:right w:w="80" w:type="dxa"/>
            </w:tcMar>
          </w:tcPr>
          <w:p>
            <w:r>
              <w:rPr>
                <w:rFonts w:ascii="Calibri" w:hAnsi="Calibri"/>
                <w:b/>
                <w:color w:val="0F172A"/>
                <w:sz w:val="21"/>
              </w:rPr>
              <w:t>Tanggal Penyusunan:</w:t>
            </w:r>
          </w:p>
        </w:tc>
        <w:tc>
          <w:tcPr>
            <w:tcW w:type="dxa" w:w="6192"/>
            <w:tcMar>
              <w:top w:w="50" w:type="dxa"/>
              <w:bottom w:w="50" w:type="dxa"/>
              <w:left w:w="80" w:type="dxa"/>
              <w:right w:w="80" w:type="dxa"/>
            </w:tcMar>
          </w:tcPr>
          <w:p>
            <w:r>
              <w:rPr>
                <w:rFonts w:ascii="Calibri" w:hAnsi="Calibri"/>
                <w:color w:val="334155"/>
                <w:sz w:val="21"/>
              </w:rPr>
              <w:t>07 Agustus 2026</w:t>
            </w:r>
          </w:p>
        </w:tc>
      </w:tr>
      <w:tr>
        <w:tc>
          <w:tcPr>
            <w:tcW w:type="dxa" w:w="3168"/>
            <w:tcMar>
              <w:top w:w="50" w:type="dxa"/>
              <w:bottom w:w="50" w:type="dxa"/>
              <w:left w:w="80" w:type="dxa"/>
              <w:right w:w="80" w:type="dxa"/>
            </w:tcMar>
          </w:tcPr>
          <w:p>
            <w:r>
              <w:rPr>
                <w:rFonts w:ascii="Calibri" w:hAnsi="Calibri"/>
                <w:b/>
                <w:color w:val="0F172A"/>
                <w:sz w:val="21"/>
              </w:rPr>
              <w:t>Status Dokumen:</w:t>
            </w:r>
          </w:p>
        </w:tc>
        <w:tc>
          <w:tcPr>
            <w:tcW w:type="dxa" w:w="6192"/>
            <w:tcMar>
              <w:top w:w="50" w:type="dxa"/>
              <w:bottom w:w="50" w:type="dxa"/>
              <w:left w:w="80" w:type="dxa"/>
              <w:right w:w="80" w:type="dxa"/>
            </w:tcMar>
          </w:tcPr>
          <w:p>
            <w:r>
              <w:rPr>
                <w:rFonts w:ascii="Calibri" w:hAnsi="Calibri"/>
                <w:color w:val="334155"/>
                <w:sz w:val="21"/>
              </w:rPr>
              <w:t>Rilis Final untuk Referensi Teknis</w:t>
            </w:r>
          </w:p>
        </w:tc>
      </w:tr>
    </w:tbl>
    <w:p>
      <w:r>
        <w:br w:type="page"/>
      </w:r>
    </w:p>
    <w:p>
      <w:pPr>
        <w:keepNext/>
        <w:spacing w:before="360" w:after="160"/>
      </w:pPr>
      <w:r>
        <w:rPr>
          <w:rFonts w:ascii="Calibri" w:hAnsi="Calibri"/>
          <w:b/>
          <w:color w:val="0F172A"/>
          <w:sz w:val="32"/>
        </w:rPr>
        <w:t>1. Sistem Tema (Theming System) &amp; Mode Tampilan</w:t>
      </w:r>
    </w:p>
    <w:p>
      <w:pPr>
        <w:spacing w:line="276" w:lineRule="auto" w:after="160"/>
      </w:pPr>
      <w:r>
        <w:rPr>
          <w:rFonts w:ascii="Calibri" w:hAnsi="Calibri"/>
          <w:color w:val="334155"/>
          <w:sz w:val="22"/>
        </w:rPr>
        <w:t>Aplikasi BMKG Cuaca dilengkapi dengan sistem manajemen tema mutakhir yang fleksibel, mendukung preferensi pengguna untuk kenyamanan pembacaan data meteorologi di berbagai kondisi lingkungan pencahayaan:</w:t>
      </w:r>
    </w:p>
    <w:p>
      <w:pPr>
        <w:pStyle w:val="ListBullet"/>
        <w:spacing w:after="80" w:line="276" w:lineRule="auto"/>
      </w:pPr>
      <w:r>
        <w:rPr>
          <w:b/>
          <w:color w:val="0F172A"/>
        </w:rPr>
        <w:t xml:space="preserve">Mode Terang (Light Mode): </w:t>
      </w:r>
      <w:r>
        <w:rPr>
          <w:color w:val="334155"/>
        </w:rPr>
        <w:t>Dioptimalkan untuk kejelasan tinggi (high contrast) di bawah terik sinar matahari langsung. Menggunakan warna latar belakang bersih (#FFFFFF dan #F8FAFC) dengan warna teks abu-abu gelap (#334155).</w:t>
      </w:r>
    </w:p>
    <w:p>
      <w:pPr>
        <w:pStyle w:val="ListBullet"/>
        <w:spacing w:after="80" w:line="276" w:lineRule="auto"/>
      </w:pPr>
      <w:r>
        <w:rPr>
          <w:b/>
          <w:color w:val="0F172A"/>
        </w:rPr>
        <w:t xml:space="preserve">Mode Gelap (Dark Mode): </w:t>
      </w:r>
      <w:r>
        <w:rPr>
          <w:color w:val="334155"/>
        </w:rPr>
        <w:t>Didesain khusus untuk meminimalkan kelelahan mata di malam hari atau kondisi minim cahaya. Berbasis palet Navy pekat (#0F172A dan #0B192C) dengan aksen warna Cyan (#0EA5E9) untuk memberikan kesan teknologi premium yang modern.</w:t>
      </w:r>
    </w:p>
    <w:p>
      <w:pPr>
        <w:pStyle w:val="ListBullet"/>
        <w:spacing w:after="80" w:line="276" w:lineRule="auto"/>
      </w:pPr>
      <w:r>
        <w:rPr>
          <w:b/>
          <w:color w:val="0F172A"/>
        </w:rPr>
        <w:t xml:space="preserve">Mode Otomatis (Auto Mode): </w:t>
      </w:r>
      <w:r>
        <w:rPr>
          <w:color w:val="334155"/>
        </w:rPr>
        <w:t>Melakukan sinkronisasi otomatis berdasarkan pengaturan tema sistem operasi bawaan perangkat pengguna (Windows, macOS, Android, iOS).</w:t>
      </w:r>
    </w:p>
    <w:p>
      <w:pPr>
        <w:spacing w:after="160"/>
      </w:pPr>
    </w:p>
    <w:p>
      <w:pPr>
        <w:keepNext/>
        <w:spacing w:before="240" w:after="120"/>
      </w:pPr>
      <w:r>
        <w:rPr>
          <w:b/>
          <w:color w:val="0284C7"/>
          <w:sz w:val="26"/>
        </w:rPr>
        <w:t>1.1 Tema Gradien &amp; Landmark Kota Spesifik (City-Specific Themes)</w:t>
      </w:r>
    </w:p>
    <w:p>
      <w:pPr>
        <w:spacing w:line="276" w:lineRule="auto" w:after="160"/>
      </w:pPr>
      <w:r>
        <w:rPr>
          <w:rFonts w:ascii="Calibri" w:hAnsi="Calibri"/>
          <w:color w:val="334155"/>
          <w:sz w:val="22"/>
        </w:rPr>
        <w:t>Selain mode dasar (Light/Dark/Auto), aplikasi ini mendeteksi kota yang sedang dipilih oleh pengguna dan mengubah warna kartu cuaca utama (*Current Weather Card*) serta gambar siluet landmark kota secara dinamis menggunakan gradien modern:</w:t>
      </w:r>
    </w:p>
    <w:tbl>
      <w:tblPr>
        <w:tblW w:type="auto" w:w="0"/>
        <w:jc w:val="center"/>
        <w:tblLayout w:type="fixed"/>
        <w:tblLook w:firstColumn="1" w:firstRow="1" w:lastColumn="0" w:lastRow="0" w:noHBand="0" w:noVBand="1" w:val="04A0"/>
        <w:tblBorders>
          <w:top w:val="single" w:sz="4" w:space="0" w:color="E5E7EB"/>
          <w:bottom w:val="single" w:sz="4" w:space="0" w:color="E5E7EB"/>
          <w:left w:val="single" w:sz="4" w:space="0" w:color="E5E7EB"/>
          <w:right w:val="single" w:sz="4" w:space="0" w:color="E5E7EB"/>
          <w:insideH w:val="single" w:sz="4" w:space="0" w:color="E5E7EB"/>
          <w:insideV w:val="single" w:sz="4" w:space="0" w:color="E5E7EB"/>
        </w:tblBorders>
      </w:tblPr>
      <w:tblGrid>
        <w:gridCol w:w="3120"/>
        <w:gridCol w:w="3120"/>
        <w:gridCol w:w="3120"/>
      </w:tblGrid>
      <w:tr>
        <w:tc>
          <w:tcPr>
            <w:tcW w:type="dxa" w:w="2592"/>
            <w:shd w:fill="0F172A"/>
            <w:tcMar>
              <w:top w:w="60" w:type="dxa"/>
              <w:bottom w:w="60" w:type="dxa"/>
              <w:left w:w="80" w:type="dxa"/>
              <w:right w:w="80" w:type="dxa"/>
            </w:tcMar>
          </w:tcPr>
          <w:p>
            <w:r>
              <w:rPr>
                <w:b/>
                <w:color w:val="FFFFFF"/>
                <w:sz w:val="19"/>
              </w:rPr>
              <w:t>Kota / Wilayah</w:t>
            </w:r>
          </w:p>
        </w:tc>
        <w:tc>
          <w:tcPr>
            <w:tcW w:type="dxa" w:w="3888"/>
            <w:shd w:fill="0F172A"/>
            <w:tcMar>
              <w:top w:w="60" w:type="dxa"/>
              <w:bottom w:w="60" w:type="dxa"/>
              <w:left w:w="80" w:type="dxa"/>
              <w:right w:w="80" w:type="dxa"/>
            </w:tcMar>
          </w:tcPr>
          <w:p>
            <w:r>
              <w:rPr>
                <w:b/>
                <w:color w:val="FFFFFF"/>
                <w:sz w:val="19"/>
              </w:rPr>
              <w:t>Skema Warna &amp; Gradien</w:t>
            </w:r>
          </w:p>
        </w:tc>
        <w:tc>
          <w:tcPr>
            <w:tcW w:type="dxa" w:w="2880"/>
            <w:shd w:fill="0F172A"/>
            <w:tcMar>
              <w:top w:w="60" w:type="dxa"/>
              <w:bottom w:w="60" w:type="dxa"/>
              <w:left w:w="80" w:type="dxa"/>
              <w:right w:w="80" w:type="dxa"/>
            </w:tcMar>
          </w:tcPr>
          <w:p>
            <w:r>
              <w:rPr>
                <w:b/>
                <w:color w:val="FFFFFF"/>
                <w:sz w:val="19"/>
              </w:rPr>
              <w:t>Landmark Visual yang Ditampilkan</w:t>
            </w:r>
          </w:p>
        </w:tc>
      </w:tr>
      <w:tr>
        <w:tc>
          <w:tcPr>
            <w:tcW w:type="dxa" w:w="2592"/>
            <w:tcMar>
              <w:top w:w="50" w:type="dxa"/>
              <w:bottom w:w="50" w:type="dxa"/>
              <w:left w:w="80" w:type="dxa"/>
              <w:right w:w="80" w:type="dxa"/>
            </w:tcMar>
          </w:tcPr>
          <w:p>
            <w:pPr>
              <w:spacing w:line="276" w:lineRule="auto"/>
            </w:pPr>
            <w:r>
              <w:rPr>
                <w:b/>
                <w:color w:val="0F172A"/>
                <w:sz w:val="18"/>
              </w:rPr>
              <w:t>DKI Jakarta</w:t>
            </w:r>
          </w:p>
        </w:tc>
        <w:tc>
          <w:tcPr>
            <w:tcW w:type="dxa" w:w="3888"/>
            <w:tcMar>
              <w:top w:w="50" w:type="dxa"/>
              <w:bottom w:w="50" w:type="dxa"/>
              <w:left w:w="80" w:type="dxa"/>
              <w:right w:w="80" w:type="dxa"/>
            </w:tcMar>
          </w:tcPr>
          <w:p>
            <w:pPr>
              <w:spacing w:line="276" w:lineRule="auto"/>
            </w:pPr>
            <w:r>
              <w:rPr>
                <w:color w:val="334155"/>
                <w:sz w:val="18"/>
              </w:rPr>
              <w:t>Ungu Violet Gelap (#1C0B36 -&gt; #2E0E4B -&gt; #1A092B)</w:t>
            </w:r>
          </w:p>
        </w:tc>
        <w:tc>
          <w:tcPr>
            <w:tcW w:type="dxa" w:w="2880"/>
            <w:tcMar>
              <w:top w:w="50" w:type="dxa"/>
              <w:bottom w:w="50" w:type="dxa"/>
              <w:left w:w="80" w:type="dxa"/>
              <w:right w:w="80" w:type="dxa"/>
            </w:tcMar>
          </w:tcPr>
          <w:p>
            <w:pPr>
              <w:spacing w:line="276" w:lineRule="auto"/>
            </w:pPr>
            <w:r>
              <w:rPr>
                <w:color w:val="334155"/>
                <w:sz w:val="18"/>
              </w:rPr>
              <w:t>Monas (Monumen Nasional)</w:t>
            </w:r>
          </w:p>
        </w:tc>
      </w:tr>
      <w:tr>
        <w:tc>
          <w:tcPr>
            <w:tcW w:type="dxa" w:w="2592"/>
            <w:tcMar>
              <w:top w:w="50" w:type="dxa"/>
              <w:bottom w:w="50" w:type="dxa"/>
              <w:left w:w="80" w:type="dxa"/>
              <w:right w:w="80" w:type="dxa"/>
            </w:tcMar>
          </w:tcPr>
          <w:p>
            <w:pPr>
              <w:spacing w:line="276" w:lineRule="auto"/>
            </w:pPr>
            <w:r>
              <w:rPr>
                <w:b/>
                <w:color w:val="0F172A"/>
                <w:sz w:val="18"/>
              </w:rPr>
              <w:t>Surabaya</w:t>
            </w:r>
          </w:p>
        </w:tc>
        <w:tc>
          <w:tcPr>
            <w:tcW w:type="dxa" w:w="3888"/>
            <w:tcMar>
              <w:top w:w="50" w:type="dxa"/>
              <w:bottom w:w="50" w:type="dxa"/>
              <w:left w:w="80" w:type="dxa"/>
              <w:right w:w="80" w:type="dxa"/>
            </w:tcMar>
          </w:tcPr>
          <w:p>
            <w:pPr>
              <w:spacing w:line="276" w:lineRule="auto"/>
            </w:pPr>
            <w:r>
              <w:rPr>
                <w:color w:val="334155"/>
                <w:sz w:val="18"/>
              </w:rPr>
              <w:t>Teal, Cyan, &amp; Biru Gelap (Teal-900 -&gt; Cyan-950 -&gt; Blue-950)</w:t>
            </w:r>
          </w:p>
        </w:tc>
        <w:tc>
          <w:tcPr>
            <w:tcW w:type="dxa" w:w="2880"/>
            <w:tcMar>
              <w:top w:w="50" w:type="dxa"/>
              <w:bottom w:w="50" w:type="dxa"/>
              <w:left w:w="80" w:type="dxa"/>
              <w:right w:w="80" w:type="dxa"/>
            </w:tcMar>
          </w:tcPr>
          <w:p>
            <w:pPr>
              <w:spacing w:line="276" w:lineRule="auto"/>
            </w:pPr>
            <w:r>
              <w:rPr>
                <w:color w:val="334155"/>
                <w:sz w:val="18"/>
              </w:rPr>
              <w:t>Tugu Pahlawan &amp; Patung Suro/Boyo</w:t>
            </w:r>
          </w:p>
        </w:tc>
      </w:tr>
      <w:tr>
        <w:tc>
          <w:tcPr>
            <w:tcW w:type="dxa" w:w="2592"/>
            <w:tcMar>
              <w:top w:w="50" w:type="dxa"/>
              <w:bottom w:w="50" w:type="dxa"/>
              <w:left w:w="80" w:type="dxa"/>
              <w:right w:w="80" w:type="dxa"/>
            </w:tcMar>
          </w:tcPr>
          <w:p>
            <w:pPr>
              <w:spacing w:line="276" w:lineRule="auto"/>
            </w:pPr>
            <w:r>
              <w:rPr>
                <w:b/>
                <w:color w:val="0F172A"/>
                <w:sz w:val="18"/>
              </w:rPr>
              <w:t>Bandung</w:t>
            </w:r>
          </w:p>
        </w:tc>
        <w:tc>
          <w:tcPr>
            <w:tcW w:type="dxa" w:w="3888"/>
            <w:tcMar>
              <w:top w:w="50" w:type="dxa"/>
              <w:bottom w:w="50" w:type="dxa"/>
              <w:left w:w="80" w:type="dxa"/>
              <w:right w:w="80" w:type="dxa"/>
            </w:tcMar>
          </w:tcPr>
          <w:p>
            <w:pPr>
              <w:spacing w:line="276" w:lineRule="auto"/>
            </w:pPr>
            <w:r>
              <w:rPr>
                <w:color w:val="334155"/>
                <w:sz w:val="18"/>
              </w:rPr>
              <w:t>Zamrud Hijau &amp; Teal (Emerald-900 -&gt; Teal-950 -&gt; Cyan-950)</w:t>
            </w:r>
          </w:p>
        </w:tc>
        <w:tc>
          <w:tcPr>
            <w:tcW w:type="dxa" w:w="2880"/>
            <w:tcMar>
              <w:top w:w="50" w:type="dxa"/>
              <w:bottom w:w="50" w:type="dxa"/>
              <w:left w:w="80" w:type="dxa"/>
              <w:right w:w="80" w:type="dxa"/>
            </w:tcMar>
          </w:tcPr>
          <w:p>
            <w:pPr>
              <w:spacing w:line="276" w:lineRule="auto"/>
            </w:pPr>
            <w:r>
              <w:rPr>
                <w:color w:val="334155"/>
                <w:sz w:val="18"/>
              </w:rPr>
              <w:t>Gedung Sate &amp; Jembatan Pasupati</w:t>
            </w:r>
          </w:p>
        </w:tc>
      </w:tr>
      <w:tr>
        <w:tc>
          <w:tcPr>
            <w:tcW w:type="dxa" w:w="2592"/>
            <w:tcMar>
              <w:top w:w="50" w:type="dxa"/>
              <w:bottom w:w="50" w:type="dxa"/>
              <w:left w:w="80" w:type="dxa"/>
              <w:right w:w="80" w:type="dxa"/>
            </w:tcMar>
          </w:tcPr>
          <w:p>
            <w:pPr>
              <w:spacing w:line="276" w:lineRule="auto"/>
            </w:pPr>
            <w:r>
              <w:rPr>
                <w:b/>
                <w:color w:val="0F172A"/>
                <w:sz w:val="18"/>
              </w:rPr>
              <w:t>Medan</w:t>
            </w:r>
          </w:p>
        </w:tc>
        <w:tc>
          <w:tcPr>
            <w:tcW w:type="dxa" w:w="3888"/>
            <w:tcMar>
              <w:top w:w="50" w:type="dxa"/>
              <w:bottom w:w="50" w:type="dxa"/>
              <w:left w:w="80" w:type="dxa"/>
              <w:right w:w="80" w:type="dxa"/>
            </w:tcMar>
          </w:tcPr>
          <w:p>
            <w:pPr>
              <w:spacing w:line="276" w:lineRule="auto"/>
            </w:pPr>
            <w:r>
              <w:rPr>
                <w:color w:val="334155"/>
                <w:sz w:val="18"/>
              </w:rPr>
              <w:t>Cokelat Amber, Jingga, &amp; Kuning Gelap (#78350F -&gt; #431407)</w:t>
            </w:r>
          </w:p>
        </w:tc>
        <w:tc>
          <w:tcPr>
            <w:tcW w:type="dxa" w:w="2880"/>
            <w:tcMar>
              <w:top w:w="50" w:type="dxa"/>
              <w:bottom w:w="50" w:type="dxa"/>
              <w:left w:w="80" w:type="dxa"/>
              <w:right w:w="80" w:type="dxa"/>
            </w:tcMar>
          </w:tcPr>
          <w:p>
            <w:pPr>
              <w:spacing w:line="276" w:lineRule="auto"/>
            </w:pPr>
            <w:r>
              <w:rPr>
                <w:color w:val="334155"/>
                <w:sz w:val="18"/>
              </w:rPr>
              <w:t>Istana Maimun &amp; Masjid Raya Medan</w:t>
            </w:r>
          </w:p>
        </w:tc>
      </w:tr>
      <w:tr>
        <w:tc>
          <w:tcPr>
            <w:tcW w:type="dxa" w:w="2592"/>
            <w:tcMar>
              <w:top w:w="50" w:type="dxa"/>
              <w:bottom w:w="50" w:type="dxa"/>
              <w:left w:w="80" w:type="dxa"/>
              <w:right w:w="80" w:type="dxa"/>
            </w:tcMar>
          </w:tcPr>
          <w:p>
            <w:pPr>
              <w:spacing w:line="276" w:lineRule="auto"/>
            </w:pPr>
            <w:r>
              <w:rPr>
                <w:b/>
                <w:color w:val="0F172A"/>
                <w:sz w:val="18"/>
              </w:rPr>
              <w:t>Makassar</w:t>
            </w:r>
          </w:p>
        </w:tc>
        <w:tc>
          <w:tcPr>
            <w:tcW w:type="dxa" w:w="3888"/>
            <w:tcMar>
              <w:top w:w="50" w:type="dxa"/>
              <w:bottom w:w="50" w:type="dxa"/>
              <w:left w:w="80" w:type="dxa"/>
              <w:right w:w="80" w:type="dxa"/>
            </w:tcMar>
          </w:tcPr>
          <w:p>
            <w:pPr>
              <w:spacing w:line="276" w:lineRule="auto"/>
            </w:pPr>
            <w:r>
              <w:rPr>
                <w:color w:val="334155"/>
                <w:sz w:val="18"/>
              </w:rPr>
              <w:t>Biru, Indigo, &amp; Slate Gelap (Blue-900 -&gt; Indigo-950 -&gt; Slate-950)</w:t>
            </w:r>
          </w:p>
        </w:tc>
        <w:tc>
          <w:tcPr>
            <w:tcW w:type="dxa" w:w="2880"/>
            <w:tcMar>
              <w:top w:w="50" w:type="dxa"/>
              <w:bottom w:w="50" w:type="dxa"/>
              <w:left w:w="80" w:type="dxa"/>
              <w:right w:w="80" w:type="dxa"/>
            </w:tcMar>
          </w:tcPr>
          <w:p>
            <w:pPr>
              <w:spacing w:line="276" w:lineRule="auto"/>
            </w:pPr>
            <w:r>
              <w:rPr>
                <w:color w:val="334155"/>
                <w:sz w:val="18"/>
              </w:rPr>
              <w:t>Kapal Phinisi &amp; Pantai Losari</w:t>
            </w:r>
          </w:p>
        </w:tc>
      </w:tr>
      <w:tr>
        <w:tc>
          <w:tcPr>
            <w:tcW w:type="dxa" w:w="2592"/>
            <w:tcMar>
              <w:top w:w="50" w:type="dxa"/>
              <w:bottom w:w="50" w:type="dxa"/>
              <w:left w:w="80" w:type="dxa"/>
              <w:right w:w="80" w:type="dxa"/>
            </w:tcMar>
          </w:tcPr>
          <w:p>
            <w:pPr>
              <w:spacing w:line="276" w:lineRule="auto"/>
            </w:pPr>
            <w:r>
              <w:rPr>
                <w:b/>
                <w:color w:val="0F172A"/>
                <w:sz w:val="18"/>
              </w:rPr>
              <w:t>Daerah Istimewa Yogyakarta</w:t>
            </w:r>
          </w:p>
        </w:tc>
        <w:tc>
          <w:tcPr>
            <w:tcW w:type="dxa" w:w="3888"/>
            <w:tcMar>
              <w:top w:w="50" w:type="dxa"/>
              <w:bottom w:w="50" w:type="dxa"/>
              <w:left w:w="80" w:type="dxa"/>
              <w:right w:w="80" w:type="dxa"/>
            </w:tcMar>
          </w:tcPr>
          <w:p>
            <w:pPr>
              <w:spacing w:line="276" w:lineRule="auto"/>
            </w:pPr>
            <w:r>
              <w:rPr>
                <w:color w:val="334155"/>
                <w:sz w:val="18"/>
              </w:rPr>
              <w:t>Violet, Indigo, &amp; Ungu Gelap (Violet-900 -&gt; Indigo-950)</w:t>
            </w:r>
          </w:p>
        </w:tc>
        <w:tc>
          <w:tcPr>
            <w:tcW w:type="dxa" w:w="2880"/>
            <w:tcMar>
              <w:top w:w="50" w:type="dxa"/>
              <w:bottom w:w="50" w:type="dxa"/>
              <w:left w:w="80" w:type="dxa"/>
              <w:right w:w="80" w:type="dxa"/>
            </w:tcMar>
          </w:tcPr>
          <w:p>
            <w:pPr>
              <w:spacing w:line="276" w:lineRule="auto"/>
            </w:pPr>
            <w:r>
              <w:rPr>
                <w:color w:val="334155"/>
                <w:sz w:val="18"/>
              </w:rPr>
              <w:t>Tugu Yogyakarta &amp; Candi Prambanan</w:t>
            </w:r>
          </w:p>
        </w:tc>
      </w:tr>
      <w:tr>
        <w:tc>
          <w:tcPr>
            <w:tcW w:type="dxa" w:w="2592"/>
            <w:tcMar>
              <w:top w:w="50" w:type="dxa"/>
              <w:bottom w:w="50" w:type="dxa"/>
              <w:left w:w="80" w:type="dxa"/>
              <w:right w:w="80" w:type="dxa"/>
            </w:tcMar>
          </w:tcPr>
          <w:p>
            <w:pPr>
              <w:spacing w:line="276" w:lineRule="auto"/>
            </w:pPr>
            <w:r>
              <w:rPr>
                <w:b/>
                <w:color w:val="0F172A"/>
                <w:sz w:val="18"/>
              </w:rPr>
              <w:t>Semarang</w:t>
            </w:r>
          </w:p>
        </w:tc>
        <w:tc>
          <w:tcPr>
            <w:tcW w:type="dxa" w:w="3888"/>
            <w:tcMar>
              <w:top w:w="50" w:type="dxa"/>
              <w:bottom w:w="50" w:type="dxa"/>
              <w:left w:w="80" w:type="dxa"/>
              <w:right w:w="80" w:type="dxa"/>
            </w:tcMar>
          </w:tcPr>
          <w:p>
            <w:pPr>
              <w:spacing w:line="276" w:lineRule="auto"/>
            </w:pPr>
            <w:r>
              <w:rPr>
                <w:color w:val="334155"/>
                <w:sz w:val="18"/>
              </w:rPr>
              <w:t>Violet pekat &amp; Indigo Gelap (Violet-950 -&gt; Indigo-950)</w:t>
            </w:r>
          </w:p>
        </w:tc>
        <w:tc>
          <w:tcPr>
            <w:tcW w:type="dxa" w:w="2880"/>
            <w:tcMar>
              <w:top w:w="50" w:type="dxa"/>
              <w:bottom w:w="50" w:type="dxa"/>
              <w:left w:w="80" w:type="dxa"/>
              <w:right w:w="80" w:type="dxa"/>
            </w:tcMar>
          </w:tcPr>
          <w:p>
            <w:pPr>
              <w:spacing w:line="276" w:lineRule="auto"/>
            </w:pPr>
            <w:r>
              <w:rPr>
                <w:color w:val="334155"/>
                <w:sz w:val="18"/>
              </w:rPr>
              <w:t>Lawang Sewu &amp; Klenteng Sam Poo Kong</w:t>
            </w:r>
          </w:p>
        </w:tc>
      </w:tr>
      <w:tr>
        <w:tc>
          <w:tcPr>
            <w:tcW w:type="dxa" w:w="2592"/>
            <w:tcMar>
              <w:top w:w="50" w:type="dxa"/>
              <w:bottom w:w="50" w:type="dxa"/>
              <w:left w:w="80" w:type="dxa"/>
              <w:right w:w="80" w:type="dxa"/>
            </w:tcMar>
          </w:tcPr>
          <w:p>
            <w:pPr>
              <w:spacing w:line="276" w:lineRule="auto"/>
            </w:pPr>
            <w:r>
              <w:rPr>
                <w:b/>
                <w:color w:val="0F172A"/>
                <w:sz w:val="18"/>
              </w:rPr>
              <w:t>Palembang</w:t>
            </w:r>
          </w:p>
        </w:tc>
        <w:tc>
          <w:tcPr>
            <w:tcW w:type="dxa" w:w="3888"/>
            <w:tcMar>
              <w:top w:w="50" w:type="dxa"/>
              <w:bottom w:w="50" w:type="dxa"/>
              <w:left w:w="80" w:type="dxa"/>
              <w:right w:w="80" w:type="dxa"/>
            </w:tcMar>
          </w:tcPr>
          <w:p>
            <w:pPr>
              <w:spacing w:line="276" w:lineRule="auto"/>
            </w:pPr>
            <w:r>
              <w:rPr>
                <w:color w:val="334155"/>
                <w:sz w:val="18"/>
              </w:rPr>
              <w:t>Merah Maroon, Rose, &amp; Jingga Gelap (Red-950 -&gt; Rose-950)</w:t>
            </w:r>
          </w:p>
        </w:tc>
        <w:tc>
          <w:tcPr>
            <w:tcW w:type="dxa" w:w="2880"/>
            <w:tcMar>
              <w:top w:w="50" w:type="dxa"/>
              <w:bottom w:w="50" w:type="dxa"/>
              <w:left w:w="80" w:type="dxa"/>
              <w:right w:w="80" w:type="dxa"/>
            </w:tcMar>
          </w:tcPr>
          <w:p>
            <w:pPr>
              <w:spacing w:line="276" w:lineRule="auto"/>
            </w:pPr>
            <w:r>
              <w:rPr>
                <w:color w:val="334155"/>
                <w:sz w:val="18"/>
              </w:rPr>
              <w:t>Jembatan Ampera &amp; Sungai Musi</w:t>
            </w:r>
          </w:p>
        </w:tc>
      </w:tr>
      <w:tr>
        <w:tc>
          <w:tcPr>
            <w:tcW w:type="dxa" w:w="2592"/>
            <w:tcMar>
              <w:top w:w="50" w:type="dxa"/>
              <w:bottom w:w="50" w:type="dxa"/>
              <w:left w:w="80" w:type="dxa"/>
              <w:right w:w="80" w:type="dxa"/>
            </w:tcMar>
          </w:tcPr>
          <w:p>
            <w:pPr>
              <w:spacing w:line="276" w:lineRule="auto"/>
            </w:pPr>
            <w:r>
              <w:rPr>
                <w:b/>
                <w:color w:val="0F172A"/>
                <w:sz w:val="18"/>
              </w:rPr>
              <w:t>Batam</w:t>
            </w:r>
          </w:p>
        </w:tc>
        <w:tc>
          <w:tcPr>
            <w:tcW w:type="dxa" w:w="3888"/>
            <w:tcMar>
              <w:top w:w="50" w:type="dxa"/>
              <w:bottom w:w="50" w:type="dxa"/>
              <w:left w:w="80" w:type="dxa"/>
              <w:right w:w="80" w:type="dxa"/>
            </w:tcMar>
          </w:tcPr>
          <w:p>
            <w:pPr>
              <w:spacing w:line="276" w:lineRule="auto"/>
            </w:pPr>
            <w:r>
              <w:rPr>
                <w:color w:val="334155"/>
                <w:sz w:val="18"/>
              </w:rPr>
              <w:t>Slate, Sky Blue, &amp; Indigo Gelap (Slate-900 -&gt; Sky-950)</w:t>
            </w:r>
          </w:p>
        </w:tc>
        <w:tc>
          <w:tcPr>
            <w:tcW w:type="dxa" w:w="2880"/>
            <w:tcMar>
              <w:top w:w="50" w:type="dxa"/>
              <w:bottom w:w="50" w:type="dxa"/>
              <w:left w:w="80" w:type="dxa"/>
              <w:right w:w="80" w:type="dxa"/>
            </w:tcMar>
          </w:tcPr>
          <w:p>
            <w:pPr>
              <w:spacing w:line="276" w:lineRule="auto"/>
            </w:pPr>
            <w:r>
              <w:rPr>
                <w:color w:val="334155"/>
                <w:sz w:val="18"/>
              </w:rPr>
              <w:t>Jembatan Barelang</w:t>
            </w:r>
          </w:p>
        </w:tc>
      </w:tr>
      <w:tr>
        <w:tc>
          <w:tcPr>
            <w:tcW w:type="dxa" w:w="2592"/>
            <w:tcMar>
              <w:top w:w="50" w:type="dxa"/>
              <w:bottom w:w="50" w:type="dxa"/>
              <w:left w:w="80" w:type="dxa"/>
              <w:right w:w="80" w:type="dxa"/>
            </w:tcMar>
          </w:tcPr>
          <w:p>
            <w:pPr>
              <w:spacing w:line="276" w:lineRule="auto"/>
            </w:pPr>
            <w:r>
              <w:rPr>
                <w:b/>
                <w:color w:val="0F172A"/>
                <w:sz w:val="18"/>
              </w:rPr>
              <w:t>Pekanbaru</w:t>
            </w:r>
          </w:p>
        </w:tc>
        <w:tc>
          <w:tcPr>
            <w:tcW w:type="dxa" w:w="3888"/>
            <w:tcMar>
              <w:top w:w="50" w:type="dxa"/>
              <w:bottom w:w="50" w:type="dxa"/>
              <w:left w:w="80" w:type="dxa"/>
              <w:right w:w="80" w:type="dxa"/>
            </w:tcMar>
          </w:tcPr>
          <w:p>
            <w:pPr>
              <w:spacing w:line="276" w:lineRule="auto"/>
            </w:pPr>
            <w:r>
              <w:rPr>
                <w:color w:val="334155"/>
                <w:sz w:val="18"/>
              </w:rPr>
              <w:t>Teal Hijau &amp; Zamrud (Teal-950 -&gt; Emerald-950)</w:t>
            </w:r>
          </w:p>
        </w:tc>
        <w:tc>
          <w:tcPr>
            <w:tcW w:type="dxa" w:w="2880"/>
            <w:tcMar>
              <w:top w:w="50" w:type="dxa"/>
              <w:bottom w:w="50" w:type="dxa"/>
              <w:left w:w="80" w:type="dxa"/>
              <w:right w:w="80" w:type="dxa"/>
            </w:tcMar>
          </w:tcPr>
          <w:p>
            <w:pPr>
              <w:spacing w:line="276" w:lineRule="auto"/>
            </w:pPr>
            <w:r>
              <w:rPr>
                <w:color w:val="334155"/>
                <w:sz w:val="18"/>
              </w:rPr>
              <w:t>Perpustakaan Soeman HS &amp; Istana Siak</w:t>
            </w:r>
          </w:p>
        </w:tc>
      </w:tr>
      <w:tr>
        <w:tc>
          <w:tcPr>
            <w:tcW w:type="dxa" w:w="2592"/>
            <w:tcMar>
              <w:top w:w="50" w:type="dxa"/>
              <w:bottom w:w="50" w:type="dxa"/>
              <w:left w:w="80" w:type="dxa"/>
              <w:right w:w="80" w:type="dxa"/>
            </w:tcMar>
          </w:tcPr>
          <w:p>
            <w:pPr>
              <w:spacing w:line="276" w:lineRule="auto"/>
            </w:pPr>
            <w:r>
              <w:rPr>
                <w:b/>
                <w:color w:val="0F172A"/>
                <w:sz w:val="18"/>
              </w:rPr>
              <w:t>Denpasar (Bali)</w:t>
            </w:r>
          </w:p>
        </w:tc>
        <w:tc>
          <w:tcPr>
            <w:tcW w:type="dxa" w:w="3888"/>
            <w:tcMar>
              <w:top w:w="50" w:type="dxa"/>
              <w:bottom w:w="50" w:type="dxa"/>
              <w:left w:w="80" w:type="dxa"/>
              <w:right w:w="80" w:type="dxa"/>
            </w:tcMar>
          </w:tcPr>
          <w:p>
            <w:pPr>
              <w:spacing w:line="276" w:lineRule="auto"/>
            </w:pPr>
            <w:r>
              <w:rPr>
                <w:color w:val="334155"/>
                <w:sz w:val="18"/>
              </w:rPr>
              <w:t>Amber Jingga &amp; Terakota (#7C2D12 -&gt; Amber-950)</w:t>
            </w:r>
          </w:p>
        </w:tc>
        <w:tc>
          <w:tcPr>
            <w:tcW w:type="dxa" w:w="2880"/>
            <w:tcMar>
              <w:top w:w="50" w:type="dxa"/>
              <w:bottom w:w="50" w:type="dxa"/>
              <w:left w:w="80" w:type="dxa"/>
              <w:right w:w="80" w:type="dxa"/>
            </w:tcMar>
          </w:tcPr>
          <w:p>
            <w:pPr>
              <w:spacing w:line="276" w:lineRule="auto"/>
            </w:pPr>
            <w:r>
              <w:rPr>
                <w:color w:val="334155"/>
                <w:sz w:val="18"/>
              </w:rPr>
              <w:t>Gapura Candi Bentar &amp; Pura Tanah Lot</w:t>
            </w:r>
          </w:p>
        </w:tc>
      </w:tr>
    </w:tbl>
    <w:p>
      <w:r>
        <w:br w:type="page"/>
      </w:r>
    </w:p>
    <w:p>
      <w:pPr>
        <w:keepNext/>
        <w:spacing w:before="360" w:after="160"/>
      </w:pPr>
      <w:r>
        <w:rPr>
          <w:rFonts w:ascii="Calibri" w:hAnsi="Calibri"/>
          <w:b/>
          <w:color w:val="0F172A"/>
          <w:sz w:val="32"/>
        </w:rPr>
        <w:t>2. Deskripsi Fungsional Kartu (Cards) &amp; Panel Utama</w:t>
      </w:r>
    </w:p>
    <w:p>
      <w:pPr>
        <w:keepNext/>
        <w:spacing w:before="240" w:after="120"/>
      </w:pPr>
      <w:r>
        <w:rPr>
          <w:rFonts w:ascii="Calibri" w:hAnsi="Calibri"/>
          <w:b/>
          <w:color w:val="0284C7"/>
          <w:sz w:val="26"/>
        </w:rPr>
        <w:t>2.1 Header &amp; Navigasi Utama</w:t>
      </w:r>
    </w:p>
    <w:p>
      <w:pPr>
        <w:spacing w:line="276" w:lineRule="auto" w:after="160"/>
      </w:pPr>
      <w:r>
        <w:rPr>
          <w:rFonts w:ascii="Calibri" w:hAnsi="Calibri"/>
          <w:color w:val="334155"/>
          <w:sz w:val="21"/>
        </w:rPr>
        <w:t>Berada di bagian paling atas aplikasi, modul ini bertugas menangani identitas pengguna dan penelusuran lokasi. Di dalamnya terdapat logo BMKG, pemilih tab (Beranda, Penerbangan, Kemaritiman, Pengaturan Akun), tombol toggle tema (Terang, Gelap, Otomatis), ikon notifikasi darurat, serta menu avatar pengguna untuk opsi masuk/keluar.</w:t>
      </w:r>
    </w:p>
    <w:p>
      <w:pPr>
        <w:keepNext/>
        <w:spacing w:before="240" w:after="120"/>
      </w:pPr>
      <w:r>
        <w:rPr>
          <w:rFonts w:ascii="Calibri" w:hAnsi="Calibri"/>
          <w:b/>
          <w:color w:val="0284C7"/>
          <w:sz w:val="26"/>
        </w:rPr>
        <w:t>2.2 Panel Peringatan Dini (Alerts Panel)</w:t>
      </w:r>
    </w:p>
    <w:p>
      <w:pPr>
        <w:spacing w:line="276" w:lineRule="auto" w:after="160"/>
      </w:pPr>
      <w:r>
        <w:rPr>
          <w:rFonts w:ascii="Calibri" w:hAnsi="Calibri"/>
          <w:color w:val="334155"/>
          <w:sz w:val="21"/>
        </w:rPr>
        <w:t>Komponen peringatan dini bencana yang diletakkan di bawah lokasi terpilih. Jika BMKG mengeluarkan status siaga/waspada (seperti banjir rob, cuaca buruk, gempa magnitudo tinggi), panel ini akan muncul dengan warna merah terang yang berdenyut (pulse) untuk memicu perhatian pengguna. Di ponsel, modul ini berubah menjadi korsel horizontal.</w:t>
      </w:r>
    </w:p>
    <w:p>
      <w:pPr>
        <w:keepNext/>
        <w:spacing w:before="240" w:after="120"/>
      </w:pPr>
      <w:r>
        <w:rPr>
          <w:rFonts w:ascii="Calibri" w:hAnsi="Calibri"/>
          <w:b/>
          <w:color w:val="0284C7"/>
          <w:sz w:val="26"/>
        </w:rPr>
        <w:t>2.3 Kartu Ringkasan Cuaca Terkini (Current Weather Card)</w:t>
      </w:r>
    </w:p>
    <w:p>
      <w:pPr>
        <w:spacing w:line="276" w:lineRule="auto" w:after="160"/>
      </w:pPr>
      <w:r>
        <w:rPr>
          <w:rFonts w:ascii="Calibri" w:hAnsi="Calibri"/>
          <w:color w:val="334155"/>
          <w:sz w:val="21"/>
        </w:rPr>
        <w:t>Kartu utama yang menyajikan metrik cuaca daerah terpilih secara komprehensif. Menampilkan nama kelurahan/kecamatan, ikon cuaca animasi, suhu aktual (°C), status 'Feels Like' (suhu yang dirasakan tubuh), serta data atmosfer sekunder seperti kecepatan angin, tingkat kelembapan, visibilitas, tekanan udara, dan indeks radiasi sinar UV.</w:t>
      </w:r>
    </w:p>
    <w:p>
      <w:pPr>
        <w:keepNext/>
        <w:spacing w:before="240" w:after="120"/>
      </w:pPr>
      <w:r>
        <w:rPr>
          <w:rFonts w:ascii="Calibri" w:hAnsi="Calibri"/>
          <w:b/>
          <w:color w:val="0284C7"/>
          <w:sz w:val="26"/>
        </w:rPr>
        <w:t>2.4 Panel Prakiraan Cuaca Per Jam (Forecast Panel)</w:t>
      </w:r>
    </w:p>
    <w:p>
      <w:pPr>
        <w:spacing w:line="276" w:lineRule="auto" w:after="160"/>
      </w:pPr>
      <w:r>
        <w:rPr>
          <w:rFonts w:ascii="Calibri" w:hAnsi="Calibri"/>
          <w:color w:val="334155"/>
          <w:sz w:val="21"/>
        </w:rPr>
        <w:t>Menyajikan prakiraan cuaca jangka pendek (24 jam ke depan) dalam bentuk grafik garis lengkung (spline chart) yang halus. Menunjukkan fluktuasi suhu udara per 3 jam, dilengkapi dengan kolom arah angin, kecepatan angin, dan probabilitas curah hujan.</w:t>
      </w:r>
    </w:p>
    <w:p>
      <w:pPr>
        <w:keepNext/>
        <w:spacing w:before="240" w:after="120"/>
      </w:pPr>
      <w:r>
        <w:rPr>
          <w:rFonts w:ascii="Calibri" w:hAnsi="Calibri"/>
          <w:b/>
          <w:color w:val="0284C7"/>
          <w:sz w:val="26"/>
        </w:rPr>
        <w:t>2.5 Monitor Seismik &amp; Kegempaan (Earthquake Seismic Monitor)</w:t>
      </w:r>
    </w:p>
    <w:p>
      <w:pPr>
        <w:spacing w:line="276" w:lineRule="auto" w:after="160"/>
      </w:pPr>
      <w:r>
        <w:rPr>
          <w:rFonts w:ascii="Calibri" w:hAnsi="Calibri"/>
          <w:color w:val="334155"/>
          <w:sz w:val="21"/>
        </w:rPr>
        <w:t>Panel khusus pemantau aktivitas gempa bumi tektonik. Komponen ini memanfaatkan data koordinat GPS pengguna dan secara otomatis menghitung jarak radial dari lokasi pengguna ke episentrum gempa bumi terkini dalam satuan kilometer. Menampilkan magnitudo, kedalaman gempa, waktu kejadian, status potensi tsunami, serta koordinat episentrum.</w:t>
      </w:r>
    </w:p>
    <w:p>
      <w:pPr>
        <w:keepNext/>
        <w:spacing w:before="240" w:after="120"/>
      </w:pPr>
      <w:r>
        <w:rPr>
          <w:rFonts w:ascii="Calibri" w:hAnsi="Calibri"/>
          <w:b/>
          <w:color w:val="0284C7"/>
          <w:sz w:val="26"/>
        </w:rPr>
        <w:t>2.6 Kartu Analisis Sektoral Harian (Weather Activities Cards)</w:t>
      </w:r>
    </w:p>
    <w:p>
      <w:pPr>
        <w:spacing w:line="276" w:lineRule="auto" w:after="160"/>
      </w:pPr>
      <w:r>
        <w:rPr>
          <w:rFonts w:ascii="Calibri" w:hAnsi="Calibri"/>
          <w:color w:val="334155"/>
          <w:sz w:val="21"/>
        </w:rPr>
        <w:t>Tiga kartu analisis harian yang ditempatkan secara bertumpuk (stacked) di sidebar: Aktivitas Darat, Aktivitas Pesisir/Laut, dan Penerbangan. Setiap kartu didukung visualisasi ilustrasi svg (ilustrasi jalan raya, ombak laut, atau lintasan landasan pacu) dan deskripsi analisis kontekstual dari BMKG. Menekan tombol 'Selengkapnya' akan memicu laci penasihat cuaca.</w:t>
      </w:r>
    </w:p>
    <w:p>
      <w:r>
        <w:br w:type="page"/>
      </w:r>
    </w:p>
    <w:p>
      <w:pPr>
        <w:keepNext/>
        <w:spacing w:before="360" w:after="160"/>
      </w:pPr>
      <w:r>
        <w:rPr>
          <w:rFonts w:ascii="Calibri" w:hAnsi="Calibri"/>
          <w:b/>
          <w:color w:val="0F172A"/>
          <w:sz w:val="32"/>
        </w:rPr>
        <w:t>3. Deskripsi Fungsional Laci Panel Detail (Drawers)</w:t>
      </w:r>
    </w:p>
    <w:p>
      <w:pPr>
        <w:spacing w:line="276" w:lineRule="auto" w:after="200"/>
      </w:pPr>
      <w:r>
        <w:rPr>
          <w:rFonts w:ascii="Calibri" w:hAnsi="Calibri"/>
          <w:color w:val="334155"/>
          <w:sz w:val="22"/>
        </w:rPr>
        <w:t>Laci panel (drawers) adalah jendela modal interaktif yang meluncur keluar dari sisi kanan (pada desktop) atau dari bawah ke atas (pada mobile) untuk menyajikan data operasional dan peta geospasial mendalam:</w:t>
      </w:r>
    </w:p>
    <w:p>
      <w:pPr>
        <w:keepNext/>
        <w:spacing w:before="240" w:after="120"/>
      </w:pPr>
      <w:r>
        <w:rPr>
          <w:rFonts w:ascii="Calibri" w:hAnsi="Calibri"/>
          <w:b/>
          <w:color w:val="0284C7"/>
          <w:sz w:val="26"/>
        </w:rPr>
        <w:t>3.1 Laci Perjalanan &amp; Transportasi Darat (Land Based Activities Drawer)</w:t>
      </w:r>
    </w:p>
    <w:p>
      <w:pPr>
        <w:spacing w:line="276" w:lineRule="auto" w:after="160"/>
      </w:pPr>
      <w:r>
        <w:rPr>
          <w:rFonts w:ascii="Calibri" w:hAnsi="Calibri"/>
          <w:color w:val="334155"/>
          <w:sz w:val="21"/>
        </w:rPr>
        <w:t>Laci ini terintegrasi dengan pustaka pemetaan Leaflet.js dan OpenStreetMap. Pengguna dapat menentukan titik tujuan darat dari koordinat asalnya. Sistem akan menghitung rute optimal dan menyajikan prakiraan cuaca di sepanjang koordinat jalur darat tersebut. Modul ini menyediakan grafik perkiraan cuaca per titik rute, opsi pemilihan moda transportasi (sepeda motor, mobil, kereta api, bus), serta peringatan risiko hidrometeorologi (banjir, tanah longsor, angin kencang).</w:t>
      </w:r>
    </w:p>
    <w:p>
      <w:pPr>
        <w:keepNext/>
        <w:spacing w:before="240" w:after="120"/>
      </w:pPr>
      <w:r>
        <w:rPr>
          <w:rFonts w:ascii="Calibri" w:hAnsi="Calibri"/>
          <w:b/>
          <w:color w:val="0284C7"/>
          <w:sz w:val="26"/>
        </w:rPr>
        <w:t>3.2 Laci Penasihat Kemaritiman (Maritime Advisor Drawer)</w:t>
      </w:r>
    </w:p>
    <w:p>
      <w:pPr>
        <w:spacing w:line="276" w:lineRule="auto" w:after="160"/>
      </w:pPr>
      <w:r>
        <w:rPr>
          <w:rFonts w:ascii="Calibri" w:hAnsi="Calibri"/>
          <w:color w:val="334155"/>
          <w:sz w:val="21"/>
        </w:rPr>
        <w:t>Panel mendalam khusus untuk melayani sektor kelautan dan pesisir. Terbagi ke dalam sub-sektor: Pelayaran Komersial (Cargo &amp; Feri), Nelayan/Perikanan, Industri Migas Lepas Pantai, Wisata Pantai, dan Publik. Menyajikan data tinggi gelombang signifikan, arah dan kecepatan arus laut, peta pasang surut, kecepatan angin laut aktual, serta indikasi kenyamanan pantai bagi turis.</w:t>
      </w:r>
    </w:p>
    <w:p>
      <w:pPr>
        <w:keepNext/>
        <w:spacing w:before="240" w:after="120"/>
      </w:pPr>
      <w:r>
        <w:rPr>
          <w:rFonts w:ascii="Calibri" w:hAnsi="Calibri"/>
          <w:b/>
          <w:color w:val="0284C7"/>
          <w:sz w:val="26"/>
        </w:rPr>
        <w:t>3.3 Laci Penasihat Penerbangan (Aviation Advisor Drawer)</w:t>
      </w:r>
    </w:p>
    <w:p>
      <w:pPr>
        <w:spacing w:line="276" w:lineRule="auto" w:after="160"/>
      </w:pPr>
      <w:r>
        <w:rPr>
          <w:rFonts w:ascii="Calibri" w:hAnsi="Calibri"/>
          <w:color w:val="334155"/>
          <w:sz w:val="21"/>
        </w:rPr>
        <w:t>Menyediakan data prakiraan cuaca meteorologi penerbangan aktual berbasis bandara terdekat. Fitur ini dirancang untuk pilot, flight dispatcher, dan maskapai penerbangan. Menyajikan sandi METAR (kondisi cuaca aktual bandara) dan TAF (prakiraan cuaca bandara) yang diterjemahkan secara otomatis ke dalam bahasa Indonesia yang mudah dipahami. Dilengkapi grafik sebaran awan Cumulonimbus (Cb), checklist kelaikan terbang bandara, laporan turbulensi PIREP dari pilot lain, serta peringatan SIGMET cuaca ekstrem.</w:t>
      </w:r>
    </w:p>
    <w:p>
      <w:pPr>
        <w:keepNext/>
        <w:spacing w:before="240" w:after="120"/>
      </w:pPr>
      <w:r>
        <w:rPr>
          <w:rFonts w:ascii="Calibri" w:hAnsi="Calibri"/>
          <w:b/>
          <w:color w:val="0284C7"/>
          <w:sz w:val="26"/>
        </w:rPr>
        <w:t>3.4 Laci Informasi Sekitar Aktivitas Wisata (Around Activity Drawer)</w:t>
      </w:r>
    </w:p>
    <w:p>
      <w:pPr>
        <w:spacing w:line="276" w:lineRule="auto" w:after="160"/>
      </w:pPr>
      <w:r>
        <w:rPr>
          <w:rFonts w:ascii="Calibri" w:hAnsi="Calibri"/>
          <w:color w:val="334155"/>
          <w:sz w:val="21"/>
        </w:rPr>
        <w:t>Jendela informasi yang diakses melalui carousel kota besar. Menampilkan tingkat kenyamanan cuaca pada landmark wisata populer di kota terpilih (seperti lapangan golf, taman kota, pantai wisata, pusat perbelanjaan, atau cagar budaya). Memberikan rekomendasi jam berkunjung terbaik agar terhindar dari paparan radiasi sinar UV ekstrem maupun guyuran hujan lebat.</w:t>
      </w:r>
    </w:p>
    <w:p>
      <w:r>
        <w:br w:type="page"/>
      </w:r>
    </w:p>
    <w:p>
      <w:pPr>
        <w:keepNext/>
        <w:spacing w:before="360" w:after="160"/>
      </w:pPr>
      <w:r>
        <w:rPr>
          <w:rFonts w:ascii="Calibri" w:hAnsi="Calibri"/>
          <w:b/>
          <w:color w:val="0F172A"/>
          <w:sz w:val="32"/>
        </w:rPr>
        <w:t>4. Fitur Tambahan &amp; Integrasi Eksternal</w:t>
      </w:r>
    </w:p>
    <w:p>
      <w:pPr>
        <w:keepNext/>
        <w:spacing w:before="240" w:after="120"/>
      </w:pPr>
      <w:r>
        <w:rPr>
          <w:rFonts w:ascii="Calibri" w:hAnsi="Calibri"/>
          <w:b/>
          <w:color w:val="0284C7"/>
          <w:sz w:val="26"/>
        </w:rPr>
        <w:t>4.1 Auto-Slide Cities Carousel (Korsel Kota Metropolitan)</w:t>
      </w:r>
    </w:p>
    <w:p>
      <w:pPr>
        <w:spacing w:line="276" w:lineRule="auto" w:after="160"/>
      </w:pPr>
      <w:r>
        <w:rPr>
          <w:rFonts w:ascii="Calibri" w:hAnsi="Calibri"/>
          <w:color w:val="334155"/>
          <w:sz w:val="21"/>
        </w:rPr>
        <w:t>Slider horizontal otomatis yang terletak di bagian bawah dashboard utama. Secara default, korsel ini berputar setiap 10 detik sekali untuk menampilkan kondisi cuaca singkat di 10 kota metropolitan utama di Indonesia. Auto-slide ini secara cerdas akan terjeda (paused) secara otomatis jika pengguna mulai melakukan interaksi manual di atas area slider atau mengklik salah satu kota secara eksplisit.</w:t>
      </w:r>
    </w:p>
    <w:p>
      <w:pPr>
        <w:keepNext/>
        <w:spacing w:before="240" w:after="120"/>
      </w:pPr>
      <w:r>
        <w:rPr>
          <w:rFonts w:ascii="Calibri" w:hAnsi="Calibri"/>
          <w:b/>
          <w:color w:val="0284C7"/>
          <w:sz w:val="26"/>
        </w:rPr>
        <w:t>4.2 Info BMKG Mobile App Download CTA (Ajakan Unduh Aplikasi)</w:t>
      </w:r>
    </w:p>
    <w:p>
      <w:pPr>
        <w:spacing w:line="276" w:lineRule="auto" w:after="160"/>
      </w:pPr>
      <w:r>
        <w:rPr>
          <w:rFonts w:ascii="Calibri" w:hAnsi="Calibri"/>
          <w:color w:val="334155"/>
          <w:sz w:val="21"/>
        </w:rPr>
        <w:t>Menyatu di sebelah kanan carousel kota, kartu ini bertindak sebagai media promosi aplikatif. Dilengkapi gambar visual latar belakang yang estetis, logo aplikasi resmi Info BMKG, dan tombol unduh yang mengarahkan pengguna secara langsung ke Google Play Store (untuk pengguna Android) atau Apple App Store (untuk pengguna iOS).</w:t>
      </w:r>
    </w:p>
    <w:p>
      <w:r>
        <w:br w:type="page"/>
      </w:r>
    </w:p>
    <w:p>
      <w:pPr>
        <w:keepNext/>
        <w:spacing w:before="360" w:after="240"/>
      </w:pPr>
      <w:r>
        <w:rPr>
          <w:rFonts w:ascii="Calibri" w:hAnsi="Calibri"/>
          <w:b/>
          <w:color w:val="0F172A"/>
          <w:sz w:val="32"/>
        </w:rPr>
        <w:t>5. Lembar Validasi Teknis Dokumen</w:t>
      </w:r>
    </w:p>
    <w:p>
      <w:pPr>
        <w:spacing w:line="276" w:lineRule="auto" w:after="320"/>
      </w:pPr>
      <w:r>
        <w:rPr>
          <w:rFonts w:ascii="Calibri" w:hAnsi="Calibri"/>
          <w:color w:val="334155"/>
          <w:sz w:val="22"/>
        </w:rPr>
        <w:t>Lembar validasi ini menyatakan bahwa seluruh spesifikasi fungsional kartu, panel, laci detail (drawers), maupun sistem theming dinamis yang dipaparkan dalam dokumen ini telah sesuai dengan hasil pengujian aplikasi BMKG Cuaca versi redesain.</w:t>
      </w: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00" w:type="dxa"/>
              <w:right w:w="100" w:type="dxa"/>
            </w:tcMar>
          </w:tcPr>
          <w:p>
            <w:pPr>
              <w:spacing w:after="120"/>
            </w:pPr>
            <w:r>
              <w:rPr>
                <w:rFonts w:ascii="Calibri" w:hAnsi="Calibri"/>
                <w:color w:val="0F172A"/>
                <w:sz w:val="22"/>
              </w:rPr>
              <w:t>Disusun oleh,</w:t>
              <w:br/>
              <w:t>Tim Analis &amp; Pengembang Sistem</w:t>
              <w:br/>
              <w:br/>
              <w:br/>
              <w:br/>
              <w:br/>
              <w:t>_______________________</w:t>
              <w:br/>
              <w:t xml:space="preserve">Nama: </w:t>
            </w:r>
          </w:p>
        </w:tc>
        <w:tc>
          <w:tcPr>
            <w:tcW w:type="dxa" w:w="4608"/>
            <w:tcMar>
              <w:top w:w="100" w:type="dxa"/>
              <w:bottom w:w="100" w:type="dxa"/>
              <w:left w:w="100" w:type="dxa"/>
              <w:right w:w="100" w:type="dxa"/>
            </w:tcMar>
          </w:tcPr>
          <w:p>
            <w:pPr>
              <w:spacing w:after="120"/>
            </w:pPr>
            <w:r>
              <w:rPr>
                <w:rFonts w:ascii="Calibri" w:hAnsi="Calibri"/>
                <w:color w:val="0F172A"/>
                <w:sz w:val="22"/>
              </w:rPr>
              <w:t>Divalidasi oleh,</w:t>
              <w:br/>
              <w:t>Pihak Peninjau Teknis Client</w:t>
              <w:br/>
              <w:br/>
              <w:br/>
              <w:br/>
              <w:br/>
              <w:t>_______________________</w:t>
              <w:br/>
              <w:t xml:space="preserve">Nama: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