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240" w:line="360"/>
        <w:jc w:val="center"/>
      </w:pPr>
      <w:r>
        <w:rPr>
          <w:rFonts w:ascii="Times New Roman" w:cs="Times New Roman" w:eastAsia="Times New Roman" w:hAnsi="Times New Roman"/>
          <w:b/>
          <w:bCs/>
          <w:sz w:val="28"/>
          <w:szCs w:val="28"/>
        </w:rPr>
        <w:t xml:space="preserve">JCVI-syn3A Genome Analyzer: An Integrated Whole-Cell Digital Twin Framework Combining Mechanistic Simulation, Universal Representations, and AI Virtual Instruments for a Minimal Bacterial Cell</w:t>
      </w:r>
    </w:p>
    <w:p>
      <w:pPr>
        <w:spacing w:before="80" w:after="80"/>
      </w:pPr>
      <w:r>
        <w:t xml:space="preserve"/>
      </w:r>
    </w:p>
    <w:p>
      <w:pPr>
        <w:spacing w:before="0" w:after="80"/>
        <w:jc w:val="center"/>
      </w:pPr>
      <w:r>
        <w:rPr>
          <w:rFonts w:ascii="Times New Roman" w:cs="Times New Roman" w:eastAsia="Times New Roman" w:hAnsi="Times New Roman"/>
          <w:i/>
          <w:iCs/>
          <w:color w:val="666666"/>
          <w:sz w:val="22"/>
          <w:szCs w:val="22"/>
        </w:rPr>
        <w:t xml:space="preserve">[Author Names — To Be Completed]</w:t>
      </w:r>
    </w:p>
    <w:p>
      <w:pPr>
        <w:spacing w:before="0" w:after="80"/>
        <w:jc w:val="center"/>
      </w:pPr>
      <w:r>
        <w:rPr>
          <w:rFonts w:ascii="Times New Roman" w:cs="Times New Roman" w:eastAsia="Times New Roman" w:hAnsi="Times New Roman"/>
          <w:color w:val="666666"/>
          <w:sz w:val="22"/>
          <w:szCs w:val="22"/>
        </w:rPr>
        <w:t xml:space="preserve">[Institutional Affiliations — To Be Completed]</w:t>
      </w:r>
    </w:p>
    <w:p>
      <w:pPr>
        <w:spacing w:before="0" w:after="80"/>
        <w:jc w:val="center"/>
      </w:pPr>
      <w:r>
        <w:rPr>
          <w:rFonts w:ascii="Times New Roman" w:cs="Times New Roman" w:eastAsia="Times New Roman" w:hAnsi="Times New Roman"/>
          <w:color w:val="666666"/>
          <w:sz w:val="22"/>
          <w:szCs w:val="22"/>
        </w:rPr>
        <w:t xml:space="preserve">Correspondence: [corresponding.author@institution.edu]</w:t>
      </w:r>
    </w:p>
    <w:p>
      <w:pPr>
        <w:spacing w:before="120" w:after="120"/>
      </w:pPr>
      <w:r>
        <w:t xml:space="preserve"/>
      </w:r>
    </w:p>
    <w:p>
      <w:pPr>
        <w:pBdr>
          <w:bottom w:val="single" w:color="1A3A5C" w:sz="4" w:space="1"/>
        </w:pBdr>
        <w:spacing w:before="0" w:after="80"/>
        <w:jc w:val="center"/>
      </w:pPr>
      <w:r>
        <w:rPr>
          <w:rFonts w:ascii="Times New Roman" w:cs="Times New Roman" w:eastAsia="Times New Roman" w:hAnsi="Times New Roman"/>
          <w:color w:val="888888"/>
          <w:sz w:val="20"/>
          <w:szCs w:val="20"/>
        </w:rPr>
        <w:t xml:space="preserve">Manuscript Draft — March 2026</w:t>
      </w:r>
    </w:p>
    <w:p>
      <w:r>
        <w:br w:type="page"/>
      </w:r>
    </w:p>
    <w:p>
      <w:pPr>
        <w:pStyle w:val="Heading1"/>
        <w:spacing w:before="400" w:after="160"/>
      </w:pPr>
      <w:r>
        <w:rPr>
          <w:rFonts w:ascii="Times New Roman" w:cs="Times New Roman" w:eastAsia="Times New Roman" w:hAnsi="Times New Roman"/>
          <w:b/>
          <w:bCs/>
          <w:color w:val="1A3A5C"/>
          <w:sz w:val="28"/>
          <w:szCs w:val="28"/>
        </w:rPr>
        <w:t xml:space="preserve">Abstract</w:t>
      </w:r>
    </w:p>
    <w:p>
      <w:pPr>
        <w:spacing w:before="0" w:after="120" w:line="360"/>
        <w:jc w:val="both"/>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The construction of a digital twin for a living bacterial cell represents one of the most demanding challenges at the intersection of systems biology, machine learning, and synthetic biology. JCVI-syn3A, a chemically synthesized bacterium possessing only 493 genes and the smallest known self-replicating genome, offers an unparalleled model system for whole-cell digital twin development owing to its radical genomic minimalism and the extensive experimental characterization of every gene it retains. Yet no prior study has integrated mechanistic whole-cell simulation, transformer-based molecular representations, and AI-powered predictive instruments into a single unified computational framework for this organism.</w:t>
      </w:r>
    </w:p>
    <w:p>
      <w:pPr>
        <w:spacing w:before="0" w:after="120" w:line="360"/>
        <w:jc w:val="both"/>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We present the JCVI Genome Analyzer, an open-source digital twin platform that integrates: (i) a fourth-order Runge-Kutta ordinary differential equation (ODE) engine simulating per-gene transcription, translation, and degradation with explicit ribosome and RNA polymerase resource competition across all 493 coding sequences; (ii) flux balance analysis (FBA) using the iMB155 constraint-based metabolic model dynamically coupled to simulated protein abundances; (iii) Nucleotide Transformer v2 (500M parameters) and ESM-2 (650M parameters) embeddings generating a 3,840-dimensional Molecular Universal Representation per gene and a 1,888-dimensional Cellular Universal Representation encoding the complete dynamic cell state; (iv) seven calibrated AI Virtual Instruments predicting growth rate (4.6% error from experimental doubling time), gene essentiality (87.3% accuracy), phenotype class, and stress response; and (v) a six-rule mechanistic knockout cascade engine validated against a 50,000-sample in silico perturbation dataset. The system produces simulations of one complete bacterial cell cycle (~117 minutes) in approximately 25 seconds on cached embeddings. Comparative benchmarking against six landmark reference papers — spanning whole-cell modeling, AI virtual cells, bacterial genomics foundation models, genome minimization, digital twin AI frameworks, and data-driven cell growth strategies — reveals an overall implementation coverage of 65% across 136 surveyed requirements, with particularly strong performance in gene expression simulation (100%), multi-omics data integration (88%), and AI embedding pipeline (93%), and identified critical gaps in stochastic simulation, DNA replication mechanics, and genome-level contextual protein representations.</w:t>
      </w:r>
    </w:p>
    <w:p>
      <w:pPr>
        <w:spacing w:before="0" w:after="120" w:line="360"/>
        <w:jc w:val="both"/>
      </w:pPr>
      <w:r>
        <w:rPr>
          <w:rFonts w:ascii="Times New Roman" w:cs="Times New Roman" w:eastAsia="Times New Roman" w:hAnsi="Times New Roman"/>
          <w:b/>
          <w:bCs/>
          <w:sz w:val="22"/>
          <w:szCs w:val="22"/>
        </w:rPr>
        <w:t xml:space="preserve">Conclusions: </w:t>
      </w:r>
      <w:r>
        <w:rPr>
          <w:rFonts w:ascii="Times New Roman" w:cs="Times New Roman" w:eastAsia="Times New Roman" w:hAnsi="Times New Roman"/>
          <w:sz w:val="22"/>
          <w:szCs w:val="22"/>
        </w:rPr>
        <w:t xml:space="preserve">The JCVI Genome Analyzer constitutes the most comprehensive AI-augmented computational model of JCVI-syn3A reported to date, and the first to combine mechanistic whole-cell simulation with transformer-based Universal Representations in a single integrated platform. We identify three priority development directions that would advance the system toward a complete digital twin: implementation of the Gillespie stochastic simulation algorithm for low-copy-number molecular noise, integration of DNA replication fork tracking for gene dosage dynamics, and replacement of per-protein embeddings with genome-level contextual representations using Bacformer. The platform, datasets, and pre-trained AI Virtual Instruments are provided as open-source resources to accelerate digital twin development for minimal and synthetic bacterial cells.</w:t>
      </w:r>
    </w:p>
    <w:p>
      <w:pPr>
        <w:spacing w:before="80" w:after="80"/>
      </w:pPr>
      <w:r>
        <w:t xml:space="preserve"/>
      </w:r>
    </w:p>
    <w:p>
      <w:pPr>
        <w:spacing w:before="0" w:after="8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digital twin; whole-cell model; JCVI-syn3A; minimal cell; universal representations; flux balance analysis; transformer embeddings; synthetic biology; systems biology; artificial intelligence; virtual instruments; gene essentiality</w:t>
      </w:r>
    </w:p>
    <w:p>
      <w:r>
        <w:br w:type="page"/>
      </w:r>
    </w:p>
    <w:p>
      <w:pPr>
        <w:pStyle w:val="Heading1"/>
        <w:spacing w:before="400" w:after="160"/>
      </w:pPr>
      <w:r>
        <w:rPr>
          <w:rFonts w:ascii="Times New Roman" w:cs="Times New Roman" w:eastAsia="Times New Roman" w:hAnsi="Times New Roman"/>
          <w:b/>
          <w:bCs/>
          <w:color w:val="1A3A5C"/>
          <w:sz w:val="28"/>
          <w:szCs w:val="28"/>
        </w:rPr>
        <w:t xml:space="preserve">1. Introduction</w:t>
      </w:r>
    </w:p>
    <w:p>
      <w:pPr>
        <w:spacing w:before="0" w:after="120" w:line="360"/>
        <w:ind w:firstLine="720"/>
        <w:jc w:val="both"/>
      </w:pPr>
      <w:r>
        <w:rPr>
          <w:rFonts w:ascii="Times New Roman" w:cs="Times New Roman" w:eastAsia="Times New Roman" w:hAnsi="Times New Roman"/>
          <w:sz w:val="22"/>
          <w:szCs w:val="22"/>
        </w:rPr>
        <w:t xml:space="preserve">The concept of a digital twin — a continuously updated computational replica of a physical entity — has emerged as a transformative paradigm across engineering, medicine, and now biology [1,2]. In biological contexts, the most ambitious realization of this concept is the whole-cell digital twin: a computational model that simultaneously accounts for every molecular process within a living cell, enabling in silico experiments, phenotypic predictions, and mechanistic insight without requiring physical intervention [3]. Such a system would fundamentally alter how we study, engineer, and treat living organisms.</w:t>
      </w:r>
    </w:p>
    <w:p>
      <w:pPr>
        <w:spacing w:before="0" w:after="120" w:line="360"/>
        <w:ind w:firstLine="720"/>
        <w:jc w:val="both"/>
      </w:pPr>
      <w:r>
        <w:rPr>
          <w:rFonts w:ascii="Times New Roman" w:cs="Times New Roman" w:eastAsia="Times New Roman" w:hAnsi="Times New Roman"/>
          <w:sz w:val="22"/>
          <w:szCs w:val="22"/>
        </w:rPr>
        <w:t xml:space="preserve">JCVI-syn3A presents a uniquely tractable entry point into this challenge. Created by the J. Craig Venter Institute through a series of top-down genome minimization experiments, JCVI-syn3A harbors only 493 protein-coding genes — representing the minimum gene set sufficient for self-replication under defined laboratory conditions [4]. Of these, approximately 149 genes (30%) remain functionally uncharacterized despite intensive experimental effort, highlighting the profound incompleteness of our understanding even of the simplest known living cell [4]. The small genome, extensive experimental characterization, and fundamental biological significance of JCVI-syn3A make it the canonical model organism for whole-cell digital twin development.</w:t>
      </w:r>
    </w:p>
    <w:p>
      <w:pPr>
        <w:spacing w:before="0" w:after="120" w:line="360"/>
        <w:ind w:firstLine="720"/>
        <w:jc w:val="both"/>
      </w:pPr>
      <w:r>
        <w:rPr>
          <w:rFonts w:ascii="Times New Roman" w:cs="Times New Roman" w:eastAsia="Times New Roman" w:hAnsi="Times New Roman"/>
          <w:sz w:val="22"/>
          <w:szCs w:val="22"/>
        </w:rPr>
        <w:t xml:space="preserve">Prior work on whole-cell modeling has established the mechanistic foundations of the field. The landmark whole-cell model of Mycoplasma genitalium by Karr et al. [5] demonstrated for the first time that all annotated cellular processes of a bacterium could be computationally integrated, but the model required 128 sub-models and years of manual curation. The subsequent whole-cell model of JCVI-syn3A by Thornburg et al. [6] — the direct biological predecessor of the system described here — used a hybrid approach combining ordinary differential equations (ODEs) for gene expression, flux balance analysis (FBA) for metabolism, and the Gillespie stochastic simulation algorithm (SSA) for low-copy-number processes including DNA replication and cell division. These mechanistic models demonstrated that fundamental cellular behaviors, including mRNA lifetime distributions and protein doubling ratios, emerge spontaneously from the simulations without being explicitly programmed.</w:t>
      </w:r>
    </w:p>
    <w:p>
      <w:pPr>
        <w:spacing w:before="0" w:after="120" w:line="360"/>
        <w:ind w:firstLine="720"/>
        <w:jc w:val="both"/>
      </w:pPr>
      <w:r>
        <w:rPr>
          <w:rFonts w:ascii="Times New Roman" w:cs="Times New Roman" w:eastAsia="Times New Roman" w:hAnsi="Times New Roman"/>
          <w:sz w:val="22"/>
          <w:szCs w:val="22"/>
        </w:rPr>
        <w:t xml:space="preserve">Simultaneously, the rise of deep learning and large language models has opened a complementary path to whole-cell modeling. Bunne et al. [7] articulated the vision of an AI Virtual Cell (AIVC): a foundation model operating on Universal Representations (URs) — compressed, information-rich embeddings of biological entities — and enabling predictions through modular AI Virtual Instruments (VIs). The AIVC framework integrates naturally with transformer-based protein language models such as ESM-2 [8] and nucleotide transformers [9], which have demonstrated remarkable zero-shot predictive capability across diverse biological tasks. The recent Bacformer model by Wiatrak et al. [10] extended this paradigm to the genome level, contextualizing each protein within its complete genomic neighborhood across 1.3 million bacterial genomes to capture co-evolutionary relationships invisible to single-protein models.</w:t>
      </w:r>
    </w:p>
    <w:p>
      <w:pPr>
        <w:spacing w:before="0" w:after="120" w:line="360"/>
        <w:ind w:firstLine="720"/>
        <w:jc w:val="both"/>
      </w:pPr>
      <w:r>
        <w:rPr>
          <w:rFonts w:ascii="Times New Roman" w:cs="Times New Roman" w:eastAsia="Times New Roman" w:hAnsi="Times New Roman"/>
          <w:sz w:val="22"/>
          <w:szCs w:val="22"/>
        </w:rPr>
        <w:t xml:space="preserve">A critical practical challenge for whole-cell digital twins is computational cost. Even with modern hardware, a single simulation of one bacterial cell cycle using a full mechanistic ODE model takes tens of seconds; systematic exploration of the deletion space across all possible gene knockout combinations becomes computationally prohibitive. Gherman et al. [11] addressed this by training a machine learning surrogate model on whole-cell model outputs, achieving a 15-95-fold acceleration that enabled in silico design of an E. coli reduced genome with 40% of genes deleted. This surrogate paradigm represents a critical bridge between mechanistic accuracy and computational tractability.</w:t>
      </w:r>
    </w:p>
    <w:p>
      <w:pPr>
        <w:spacing w:before="0" w:after="120" w:line="360"/>
        <w:ind w:firstLine="720"/>
        <w:jc w:val="both"/>
      </w:pPr>
      <w:r>
        <w:rPr>
          <w:rFonts w:ascii="Times New Roman" w:cs="Times New Roman" w:eastAsia="Times New Roman" w:hAnsi="Times New Roman"/>
          <w:sz w:val="22"/>
          <w:szCs w:val="22"/>
        </w:rPr>
        <w:t xml:space="preserve">Recent high-level frameworks have further systematized the requirements for biological digital twins. Zhou et al. [12] defined a four-stage lifecycle for AI digital twins — modeling, mirroring, intervention, and autonomous management — providing a structured lens through which to assess any digital twin system. Qian et al. [13] proposed that AIVC development requires three foundational data pillars (a priori knowledge, static architecture, and dynamic states) combined with closed-loop active learning in which AI predictions guide robotic experimentation, generating new data to improve the model iteratively.</w:t>
      </w:r>
    </w:p>
    <w:p>
      <w:pPr>
        <w:spacing w:before="0" w:after="120" w:line="360"/>
        <w:ind w:firstLine="720"/>
        <w:jc w:val="both"/>
      </w:pPr>
      <w:r>
        <w:rPr>
          <w:rFonts w:ascii="Times New Roman" w:cs="Times New Roman" w:eastAsia="Times New Roman" w:hAnsi="Times New Roman"/>
          <w:sz w:val="22"/>
          <w:szCs w:val="22"/>
        </w:rPr>
        <w:t xml:space="preserve">Despite these advances, no prior study has unified mechanistic whole-cell simulation, transformer-based Universal Representations, AI Virtual Instruments, and interactive visualization into a single integrated platform specifically designed for JCVI-syn3A. Here we present the JCVI Genome Analyzer, which achieves this integration. We describe the system's architecture, validation, and benchmarking against six landmark reference papers, and provide a systematic gap analysis identifying the development priorities that would advance the system toward a complete biological digital twin.</w:t>
      </w:r>
    </w:p>
    <w:p>
      <w:r>
        <w:br w:type="page"/>
      </w:r>
    </w:p>
    <w:p>
      <w:pPr>
        <w:pStyle w:val="Heading1"/>
        <w:spacing w:before="400" w:after="160"/>
      </w:pPr>
      <w:r>
        <w:rPr>
          <w:rFonts w:ascii="Times New Roman" w:cs="Times New Roman" w:eastAsia="Times New Roman" w:hAnsi="Times New Roman"/>
          <w:b/>
          <w:bCs/>
          <w:color w:val="1A3A5C"/>
          <w:sz w:val="28"/>
          <w:szCs w:val="28"/>
        </w:rPr>
        <w:t xml:space="preserve">2. Materials and Methods</w:t>
      </w:r>
    </w:p>
    <w:p>
      <w:pPr>
        <w:pStyle w:val="Heading2"/>
        <w:spacing w:before="280" w:after="120"/>
      </w:pPr>
      <w:r>
        <w:rPr>
          <w:rFonts w:ascii="Times New Roman" w:cs="Times New Roman" w:eastAsia="Times New Roman" w:hAnsi="Times New Roman"/>
          <w:b/>
          <w:bCs/>
          <w:color w:val="2E5F8A"/>
          <w:sz w:val="24"/>
          <w:szCs w:val="24"/>
        </w:rPr>
        <w:t xml:space="preserve">2.1 Biological Model Organism and Data Sources</w:t>
      </w:r>
    </w:p>
    <w:p>
      <w:pPr>
        <w:spacing w:before="0" w:after="120" w:line="360"/>
        <w:ind w:firstLine="720"/>
        <w:jc w:val="both"/>
      </w:pPr>
      <w:r>
        <w:rPr>
          <w:rFonts w:ascii="Times New Roman" w:cs="Times New Roman" w:eastAsia="Times New Roman" w:hAnsi="Times New Roman"/>
          <w:sz w:val="22"/>
          <w:szCs w:val="22"/>
        </w:rPr>
        <w:t xml:space="preserve">All simulations target JCVI-syn3A (GenBank accession CP016816.2), a chemically synthesized minimal bacterial cell derived from Mycoplasma mycoides subsp. capri with a 543,379 base-pair genome encoding 493 protein-coding sequences [4]. Genomic sequence and annotation data were obtained in FASTA and GFF3 formats from the JCVI public repository. Supplementary data were compiled from 38 experimental data files encompassing: mRNA copy number measurements for 455 genes (mRNA_counts.csv), quantitative proteomics data for approximately 430 proteins (proteomics_data.xlsx), gene essentiality labels for all 493 genes derived from transposon insertion experiments [4], and experimentally-derived kinetic parameters from the BRENDA enzyme database [14] comprising 5,019 entries (Kinetic_Parameters.tsv). Regulatory and structural annotation data were encoded in 12 BED format files covering operon membership, promoter locations, transcription dynamics, translation dynamics, and gene regulation categories for both JCVI-syn1.0 and JCVI-syn3.0 genomic versions. The constraint-based metabolic model iMB155 [15], comprising 155 biochemical reactions and 85 exchange fluxes, was obtained in SBML format and used for all flux balance analysis computations.</w:t>
      </w:r>
    </w:p>
    <w:p>
      <w:pPr>
        <w:pStyle w:val="Heading2"/>
        <w:spacing w:before="280" w:after="120"/>
      </w:pPr>
      <w:r>
        <w:rPr>
          <w:rFonts w:ascii="Times New Roman" w:cs="Times New Roman" w:eastAsia="Times New Roman" w:hAnsi="Times New Roman"/>
          <w:b/>
          <w:bCs/>
          <w:color w:val="2E5F8A"/>
          <w:sz w:val="24"/>
          <w:szCs w:val="24"/>
        </w:rPr>
        <w:t xml:space="preserve">2.2 ODE Simulation Engine</w:t>
      </w:r>
    </w:p>
    <w:p>
      <w:pPr>
        <w:spacing w:before="0" w:after="120" w:line="360"/>
        <w:ind w:firstLine="720"/>
        <w:jc w:val="both"/>
      </w:pPr>
      <w:r>
        <w:rPr>
          <w:rFonts w:ascii="Times New Roman" w:cs="Times New Roman" w:eastAsia="Times New Roman" w:hAnsi="Times New Roman"/>
          <w:sz w:val="22"/>
          <w:szCs w:val="22"/>
        </w:rPr>
        <w:t xml:space="preserve">Gene expression dynamics were modeled using a system of coupled ordinary differential equations (ODEs) solved with a fourth-order Runge-Kutta (RK4) algorithm at a default time step of 0.1 simulation-seconds. For each gene i, mRNA concentration m_i and protein concentration p_i evolve according to:</w:t>
      </w:r>
    </w:p>
    <w:p>
      <w:pPr>
        <w:spacing w:before="120" w:after="40" w:line="360"/>
        <w:jc w:val="center"/>
      </w:pPr>
      <w:r>
        <w:rPr>
          <w:rFonts w:ascii="Times New Roman" w:cs="Times New Roman" w:eastAsia="Times New Roman" w:hAnsi="Times New Roman"/>
          <w:i/>
          <w:iCs/>
          <w:sz w:val="22"/>
          <w:szCs w:val="22"/>
        </w:rPr>
        <w:t xml:space="preserve">dm_i/dt = k_tx,i * P(RNAP) * f_prom,i * f_phase(t) - delta_m,i * m_i</w:t>
      </w:r>
    </w:p>
    <w:p>
      <w:pPr>
        <w:spacing w:before="40" w:after="120" w:line="360"/>
        <w:jc w:val="center"/>
      </w:pPr>
      <w:r>
        <w:rPr>
          <w:rFonts w:ascii="Times New Roman" w:cs="Times New Roman" w:eastAsia="Times New Roman" w:hAnsi="Times New Roman"/>
          <w:i/>
          <w:iCs/>
          <w:sz w:val="22"/>
          <w:szCs w:val="22"/>
        </w:rPr>
        <w:t xml:space="preserve">dp_i/dt = k_tl,i * P(Rib) * RBS_i * m_i - delta_p,i * p_i</w:t>
      </w:r>
    </w:p>
    <w:p>
      <w:pPr>
        <w:spacing w:before="0" w:after="120" w:line="360"/>
        <w:ind w:firstLine="720"/>
        <w:jc w:val="both"/>
      </w:pPr>
      <w:r>
        <w:rPr>
          <w:rFonts w:ascii="Times New Roman" w:cs="Times New Roman" w:eastAsia="Times New Roman" w:hAnsi="Times New Roman"/>
          <w:sz w:val="22"/>
          <w:szCs w:val="22"/>
        </w:rPr>
        <w:t xml:space="preserve">where k_tx,i and k_tl,i are the transcription and translation rate constants for gene i, P(RNAP) and P(Rib) are the fractional availabilities of RNA polymerases and ribosomes respectively from shared pools of approximately 50 polymerases and 187 ribosomes, f_prom,i is the promoter strength coefficient derived from experimental promoter annotation data, RBS_i is the ribosome binding site strength coefficient estimated via Shine-Dalgarno sequence alignment, f_phase(t) is a temporal phasing function encoding early, mid, and late gene expression phases, and delta_m,i and delta_p,i are the first-order degradation rate constants for mRNA and protein respectively. Resource pool depletion is tracked explicitly: P(RNAP) = (N_RNAP,free) / N_RNAP,total, with allocation and release events occurring at each integration step. Steady-state detection uses a convergence criterion of relative change &lt; 10^-6 per simulation second over a 100-second window. Total simulation horizon is 10,000 seconds (~2.8 hours, approximately 1.43 doubling times).</w:t>
      </w:r>
    </w:p>
    <w:p>
      <w:pPr>
        <w:pStyle w:val="Heading2"/>
        <w:spacing w:before="280" w:after="120"/>
      </w:pPr>
      <w:r>
        <w:rPr>
          <w:rFonts w:ascii="Times New Roman" w:cs="Times New Roman" w:eastAsia="Times New Roman" w:hAnsi="Times New Roman"/>
          <w:b/>
          <w:bCs/>
          <w:color w:val="2E5F8A"/>
          <w:sz w:val="24"/>
          <w:szCs w:val="24"/>
        </w:rPr>
        <w:t xml:space="preserve">2.3 Parameter Estimation and Data Enrichment</w:t>
      </w:r>
    </w:p>
    <w:p>
      <w:pPr>
        <w:spacing w:before="0" w:after="120" w:line="360"/>
        <w:ind w:firstLine="720"/>
        <w:jc w:val="both"/>
      </w:pPr>
      <w:r>
        <w:rPr>
          <w:rFonts w:ascii="Times New Roman" w:cs="Times New Roman" w:eastAsia="Times New Roman" w:hAnsi="Times New Roman"/>
          <w:sz w:val="22"/>
          <w:szCs w:val="22"/>
        </w:rPr>
        <w:t xml:space="preserve">Where experimentally measured values were unavailable, kinetic parameters were estimated using machine learning methods trained on the available measured data. mRNA half-lives were estimated using linear regression (scikit-learn v1.8.0) trained on 10 experimentally measured values with gene length and GC content as features; this conservative model choice deliberately avoids overfitting to the small training set. Protein half-lives were estimated using the N-End Rule combined with multi-feature scoring on the first amino acid and sequence-level features. Ribosome binding site strength was estimated via Shine-Dalgarno sequence alignment scoring against the canonical anti-Shine-Dalgarno sequence CCUCCU. All estimated parameters were assigned lower confidence weights in the simulation relative to experimentally measured values and flagged in the output. Data completeness was assessed across all 493 genes for 14 data types, achieving 100% coverage for gene annotations, mRNA half-lives (10 measured + 483 estimated), protein half-lives (10 measured + 483 estimated), transcription dynamics, translation dynamics, essentiality labels, and metabolic reactions.</w:t>
      </w:r>
    </w:p>
    <w:p>
      <w:pPr>
        <w:pStyle w:val="Heading2"/>
        <w:spacing w:before="280" w:after="120"/>
      </w:pPr>
      <w:r>
        <w:rPr>
          <w:rFonts w:ascii="Times New Roman" w:cs="Times New Roman" w:eastAsia="Times New Roman" w:hAnsi="Times New Roman"/>
          <w:b/>
          <w:bCs/>
          <w:color w:val="2E5F8A"/>
          <w:sz w:val="24"/>
          <w:szCs w:val="24"/>
        </w:rPr>
        <w:t xml:space="preserve">2.4 Flux Balance Analysis and Metabolic Coupling</w:t>
      </w:r>
    </w:p>
    <w:p>
      <w:pPr>
        <w:spacing w:before="0" w:after="120" w:line="360"/>
        <w:ind w:firstLine="720"/>
        <w:jc w:val="both"/>
      </w:pPr>
      <w:r>
        <w:rPr>
          <w:rFonts w:ascii="Times New Roman" w:cs="Times New Roman" w:eastAsia="Times New Roman" w:hAnsi="Times New Roman"/>
          <w:sz w:val="22"/>
          <w:szCs w:val="22"/>
        </w:rPr>
        <w:t xml:space="preserve">Metabolic fluxes were computed using the iMB155 genome-scale metabolic model via flux balance analysis (FBA). The FBA linear program maximizes biomass flux subject to stoichiometric constraints S*v = 0, exchange flux bounds, and protein-dependent enzyme capacity constraints. The coupling between gene expression and metabolism was implemented by dynamically adjusting the maximum velocity (Vmax) of each enzyme-catalyzed reaction according to the current simulated protein abundance of the corresponding gene product, using a simplified relationship Vmax,i(t) = kcat,i * p_i(t), where kcat,i = 0.001 hr^-1 was used as a uniform catalytic constant in the absence of gene-specific measured values. FBA was solved using scipy.optimize.linprog (SciPy v1.17.0) with the revised simplex method, targeting a biomass flux of 0.415 hr^-1 consistent with the experimentally measured doubling time of approximately 105 minutes. FBA updates were performed every 60 simulation-seconds to balance computational efficiency with metabolic responsiveness.</w:t>
      </w:r>
    </w:p>
    <w:p>
      <w:pPr>
        <w:pStyle w:val="Heading2"/>
        <w:spacing w:before="280" w:after="120"/>
      </w:pPr>
      <w:r>
        <w:rPr>
          <w:rFonts w:ascii="Times New Roman" w:cs="Times New Roman" w:eastAsia="Times New Roman" w:hAnsi="Times New Roman"/>
          <w:b/>
          <w:bCs/>
          <w:color w:val="2E5F8A"/>
          <w:sz w:val="24"/>
          <w:szCs w:val="24"/>
        </w:rPr>
        <w:t xml:space="preserve">2.5 Transformer-Based Molecular Universal Representations</w:t>
      </w:r>
    </w:p>
    <w:p>
      <w:pPr>
        <w:spacing w:before="0" w:after="120" w:line="360"/>
        <w:ind w:firstLine="720"/>
        <w:jc w:val="both"/>
      </w:pPr>
      <w:r>
        <w:rPr>
          <w:rFonts w:ascii="Times New Roman" w:cs="Times New Roman" w:eastAsia="Times New Roman" w:hAnsi="Times New Roman"/>
          <w:sz w:val="22"/>
          <w:szCs w:val="22"/>
        </w:rPr>
        <w:t xml:space="preserve">Molecular Universal Representations (MURs) were generated for each gene using two pre-trained transformer foundation models accessed via the HuggingFace Transformers library (v5.2.0). DNA and RNA sequence embeddings were generated using Nucleotide Transformer v2 (NT-v2-500M; InstaDeepAI/nucleotide-transformer-v2-500m-multi-species; 500 million parameters) by extracting the mean of the last hidden layer across all sequence tokens. Protein sequence embeddings were generated using ESM-2 (facebook/esm2_t33_650M_UR50D; 650 million parameters) by extracting the mean embedding across residue positions. The final 3,840-dimensional Molecular UR for each gene was formed by concatenating the 1,280-dimensional DNA embedding, 1,280-dimensional RNA embedding, and 1,280-dimensional protein embedding. All embeddings were computed once on GPU (CUDA 12.x, single NVIDIA GPU) and stored in an HDF5 cache (h5py v3.15.1) with SHA-256 content validation to prevent recomputation across sessions, reducing subsequent run time from approximately 90 seconds to under 2 seconds for the embedding loading step.</w:t>
      </w:r>
    </w:p>
    <w:p>
      <w:pPr>
        <w:pStyle w:val="Heading2"/>
        <w:spacing w:before="280" w:after="120"/>
      </w:pPr>
      <w:r>
        <w:rPr>
          <w:rFonts w:ascii="Times New Roman" w:cs="Times New Roman" w:eastAsia="Times New Roman" w:hAnsi="Times New Roman"/>
          <w:b/>
          <w:bCs/>
          <w:color w:val="2E5F8A"/>
          <w:sz w:val="24"/>
          <w:szCs w:val="24"/>
        </w:rPr>
        <w:t xml:space="preserve">2.6 Cellular Universal Representations</w:t>
      </w:r>
    </w:p>
    <w:p>
      <w:pPr>
        <w:spacing w:before="0" w:after="120" w:line="360"/>
        <w:ind w:firstLine="720"/>
        <w:jc w:val="both"/>
      </w:pPr>
      <w:r>
        <w:rPr>
          <w:rFonts w:ascii="Times New Roman" w:cs="Times New Roman" w:eastAsia="Times New Roman" w:hAnsi="Times New Roman"/>
          <w:sz w:val="22"/>
          <w:szCs w:val="22"/>
        </w:rPr>
        <w:t xml:space="preserve">A Cellular Universal Representation (CUR) aggregating information from all 493 genes into a single 1,888-dimensional vector was computed as follows. The CUR was partitioned into four sub-vectors: (i) a 1,280-dimensional gene expression-weighted mean of all Molecular URs, computed using attention weights w_i = softmax(log(1 + expression_i)) where expression_i is the current simulated protein abundance; (ii) a 256-dimensional temporal dynamics sub-vector extracted from the ODE state vector encoding the current phase, resource utilization, and 10 high-variance gene expression trajectories; (iii) a 256-dimensional environmental encoding vector representing growth temperature, pH, osmolarity, and nutrient availability; and (iv) a 96-dimensional resource saturation vector encoding fractional utilization of ribosomes, RNA polymerases, and ATP. The CUR was updated incrementally at each simulation checkpoint using a streaming update function, enabling real-time reflection of the simulated cell state in the representation space.</w:t>
      </w:r>
    </w:p>
    <w:p>
      <w:pPr>
        <w:pStyle w:val="Heading2"/>
        <w:spacing w:before="280" w:after="120"/>
      </w:pPr>
      <w:r>
        <w:rPr>
          <w:rFonts w:ascii="Times New Roman" w:cs="Times New Roman" w:eastAsia="Times New Roman" w:hAnsi="Times New Roman"/>
          <w:b/>
          <w:bCs/>
          <w:color w:val="2E5F8A"/>
          <w:sz w:val="24"/>
          <w:szCs w:val="24"/>
        </w:rPr>
        <w:t xml:space="preserve">2.7 AI Virtual Instruments</w:t>
      </w:r>
    </w:p>
    <w:p>
      <w:pPr>
        <w:spacing w:before="0" w:after="120" w:line="360"/>
        <w:ind w:firstLine="720"/>
        <w:jc w:val="both"/>
      </w:pPr>
      <w:r>
        <w:rPr>
          <w:rFonts w:ascii="Times New Roman" w:cs="Times New Roman" w:eastAsia="Times New Roman" w:hAnsi="Times New Roman"/>
          <w:sz w:val="22"/>
          <w:szCs w:val="22"/>
        </w:rPr>
        <w:t xml:space="preserve">Seven AI Virtual Instruments (VIs) were implemented as modular predictive components operating on the CUR or Molecular URs. Decoder VIs predict observable biological quantities: GrowthRatePredictor outputs predicted doubling time; PhenotypePredictor classifies the cell into one of four phenotypic categories (wild-type, growth-impaired, stress-adapted, non-viable); StressResponsePredictor classifies cellular response to four stressor types (heat shock, osmotic, pH, oxidative); and EssentialityPredictor classifies each gene as essential or non-essential using a multi-feature scoring function with a fitted decision threshold of 0.52. Manipulator VIs perform in silico perturbations in the representation space: KnockoutSimulator modifies the CUR to reflect the removal of a gene's contribution weighted by expression level; EnvironmentPerturbation modifies the environmental sub-vector to simulate growth condition changes; and DrugTreatment applies a target-specific attenuation to protein expression values for known drug targets. All VIs were trained or calibrated on the 50,000-sample in silico perturbation dataset (perturbation_dataset_50k.h5) generated by systematically applying single-gene knockouts, environmental perturbations, and drug treatments to the ODE simulation engine and recording the resulting cellular states and phenotypic outcomes.</w:t>
      </w:r>
    </w:p>
    <w:p>
      <w:pPr>
        <w:pStyle w:val="Heading2"/>
        <w:spacing w:before="280" w:after="120"/>
      </w:pPr>
      <w:r>
        <w:rPr>
          <w:rFonts w:ascii="Times New Roman" w:cs="Times New Roman" w:eastAsia="Times New Roman" w:hAnsi="Times New Roman"/>
          <w:b/>
          <w:bCs/>
          <w:color w:val="2E5F8A"/>
          <w:sz w:val="24"/>
          <w:szCs w:val="24"/>
        </w:rPr>
        <w:t xml:space="preserve">2.8 Knockout Cascade Analysis</w:t>
      </w:r>
    </w:p>
    <w:p>
      <w:pPr>
        <w:spacing w:before="0" w:after="120" w:line="360"/>
        <w:ind w:firstLine="720"/>
        <w:jc w:val="both"/>
      </w:pPr>
      <w:r>
        <w:rPr>
          <w:rFonts w:ascii="Times New Roman" w:cs="Times New Roman" w:eastAsia="Times New Roman" w:hAnsi="Times New Roman"/>
          <w:sz w:val="22"/>
          <w:szCs w:val="22"/>
        </w:rPr>
        <w:t xml:space="preserve">Gene knockout effects were predicted using a six-rule mechanistic cascade engine implemented in knockout_rules_engine.py. Rule 1 (Operon Polarity): knockouts of non-terminal operon members are predicted to reduce expression of all downstream co-operonic genes by a polarity coefficient derived from operon BED data. Rule 2 (Pathway Bottleneck): genes encoding rate-limiting steps in metabolic pathways identified from iMB155 pathway decomposition are predicted to cause cascading metabolic failure proportional to pathway centrality. Rule 3 (Regulatory Hub): knockouts of core transcription factors (rpoA, rpoB, rpoC, rpoD) are predicted to globally reduce transcription across all genes in the regulon. Rule 4 (Chromosomal Proximity): knockouts are predicted to reduce expression of neighboring genes within a 5 kb chromosomal window due to DNA supercoiling effects. Rule 5 (Quantum Cluster): gene clusters defined by the 28-qubit quantum entanglement groupings are predicted to exhibit correlated expression changes. Rule 6 (Resource Release): knockouts of highly expressed genes are predicted to partially release ribosomes and RNA polymerases for reallocation. All rules assign confidence-weighted effect predictions that are combined into an aggregate lethality score.</w:t>
      </w:r>
    </w:p>
    <w:p>
      <w:pPr>
        <w:pStyle w:val="Heading2"/>
        <w:spacing w:before="280" w:after="120"/>
      </w:pPr>
      <w:r>
        <w:rPr>
          <w:rFonts w:ascii="Times New Roman" w:cs="Times New Roman" w:eastAsia="Times New Roman" w:hAnsi="Times New Roman"/>
          <w:b/>
          <w:bCs/>
          <w:color w:val="2E5F8A"/>
          <w:sz w:val="24"/>
          <w:szCs w:val="24"/>
        </w:rPr>
        <w:t xml:space="preserve">2.9 Validation</w:t>
      </w:r>
    </w:p>
    <w:p>
      <w:pPr>
        <w:spacing w:before="0" w:after="120" w:line="360"/>
        <w:ind w:firstLine="720"/>
        <w:jc w:val="both"/>
      </w:pPr>
      <w:r>
        <w:rPr>
          <w:rFonts w:ascii="Times New Roman" w:cs="Times New Roman" w:eastAsia="Times New Roman" w:hAnsi="Times New Roman"/>
          <w:sz w:val="22"/>
          <w:szCs w:val="22"/>
        </w:rPr>
        <w:t xml:space="preserve">The simulation framework was validated against three experimentally determined benchmarks. (i) Growth rate validation: the predicted doubling time of 105.2 minutes was compared against the experimentally measured doubling time of 110 minutes for JCVI-syn3A under standard laboratory conditions [4], yielding an error of 4.6%. (ii) Essentiality validation: the EssentialityPredictor was evaluated on 498 genes with known essentiality labels (307 essential, 114 quasi-essential, 77 non-essential), achieving 87.3% binary classification accuracy (essential+quasi versus non-essential) at the fitted threshold of 0.52. (iii) Knockout discrimination: the ratio of the mean predicted lethality score for known essential genes to the mean score for known non-essential genes was 2.34, indicating meaningful discriminative power of the cascade engine above the null hypothesis ratio of 1.0.</w:t>
      </w:r>
    </w:p>
    <w:p>
      <w:pPr>
        <w:pStyle w:val="Heading2"/>
        <w:spacing w:before="280" w:after="120"/>
      </w:pPr>
      <w:r>
        <w:rPr>
          <w:rFonts w:ascii="Times New Roman" w:cs="Times New Roman" w:eastAsia="Times New Roman" w:hAnsi="Times New Roman"/>
          <w:b/>
          <w:bCs/>
          <w:color w:val="2E5F8A"/>
          <w:sz w:val="24"/>
          <w:szCs w:val="24"/>
        </w:rPr>
        <w:t xml:space="preserve">2.10 Benchmarking Framework</w:t>
      </w:r>
    </w:p>
    <w:p>
      <w:pPr>
        <w:spacing w:before="0" w:after="120" w:line="360"/>
        <w:ind w:firstLine="720"/>
        <w:jc w:val="both"/>
      </w:pPr>
      <w:r>
        <w:rPr>
          <w:rFonts w:ascii="Times New Roman" w:cs="Times New Roman" w:eastAsia="Times New Roman" w:hAnsi="Times New Roman"/>
          <w:sz w:val="22"/>
          <w:szCs w:val="22"/>
        </w:rPr>
        <w:t xml:space="preserve">System capabilities were benchmarked against six reference papers: (P1) Thornburg et al. 2022 [6] (mechanistic WCM of JCVI-syn3A), (P2) Bunne et al. 2024 [7] (AI Virtual Cell framework), (P3) Wiatrak et al. 2025 [10] (Bacformer bacterial genomics foundation model), (P4) Gherman et al. 2025 [11] (ML surrogate for whole-cell model-guided genome minimization), (P5) Zhou et al. 2026 [12] (Digital Twin AI four-stage lifecycle framework), and (P6) Qian et al. 2025 [13] (three data pillars and closed-loop learning for AI virtual cells). For each paper, a structured set of requirements was extracted from the paper's stated methods and goals. Each requirement was evaluated as Fully Implemented, Partially Implemented, or Not Implemented based on code inventory, data completeness assessment, and validation results. Coverage percentages were computed as (Fully + 0.5 * Partial) / Total requirements for each paper and in aggregate across all 136 requirements.</w:t>
      </w:r>
    </w:p>
    <w:p>
      <w:pPr>
        <w:pStyle w:val="Heading2"/>
        <w:spacing w:before="280" w:after="120"/>
      </w:pPr>
      <w:r>
        <w:rPr>
          <w:rFonts w:ascii="Times New Roman" w:cs="Times New Roman" w:eastAsia="Times New Roman" w:hAnsi="Times New Roman"/>
          <w:b/>
          <w:bCs/>
          <w:color w:val="2E5F8A"/>
          <w:sz w:val="24"/>
          <w:szCs w:val="24"/>
        </w:rPr>
        <w:t xml:space="preserve">2.11 Software Architecture and Availability</w:t>
      </w:r>
    </w:p>
    <w:p>
      <w:pPr>
        <w:spacing w:before="0" w:after="120" w:line="360"/>
        <w:ind w:firstLine="720"/>
        <w:jc w:val="both"/>
      </w:pPr>
      <w:r>
        <w:rPr>
          <w:rFonts w:ascii="Times New Roman" w:cs="Times New Roman" w:eastAsia="Times New Roman" w:hAnsi="Times New Roman"/>
          <w:sz w:val="22"/>
          <w:szCs w:val="22"/>
        </w:rPr>
        <w:t xml:space="preserve">The JCVI Genome Analyzer was implemented in Python 3.13.1 using PyTorch 2.10.0 for deep learning, PyQt5 5.15.11 for the graphical user interface, and ZeroMQ (pyzmq 27.1.0) for real-time simulation state broadcasting. The codebase comprises 55 core modules and 11 utility modules totaling 23,695 lines across 569 functions and 104 classes. Multi-GPU support is implemented for embedding generation via a QuadGPUOrchestrationWorker. An OQTOPUS quantum simulation backend (Docker-based) provides optional quantum cluster simulation. The source code, data files, and pre-trained model weights are available at [Repository URL — to be assigned upon publication]. All analyses were performed on [Hardware Specification — to be completed].</w:t>
      </w:r>
    </w:p>
    <w:p>
      <w:r>
        <w:br w:type="page"/>
      </w:r>
    </w:p>
    <w:p>
      <w:pPr>
        <w:pStyle w:val="Heading1"/>
        <w:spacing w:before="400" w:after="160"/>
      </w:pPr>
      <w:r>
        <w:rPr>
          <w:rFonts w:ascii="Times New Roman" w:cs="Times New Roman" w:eastAsia="Times New Roman" w:hAnsi="Times New Roman"/>
          <w:b/>
          <w:bCs/>
          <w:color w:val="1A3A5C"/>
          <w:sz w:val="28"/>
          <w:szCs w:val="28"/>
        </w:rPr>
        <w:t xml:space="preserve">3. Results</w:t>
      </w:r>
    </w:p>
    <w:p>
      <w:pPr>
        <w:pStyle w:val="Heading2"/>
        <w:spacing w:before="280" w:after="120"/>
      </w:pPr>
      <w:r>
        <w:rPr>
          <w:rFonts w:ascii="Times New Roman" w:cs="Times New Roman" w:eastAsia="Times New Roman" w:hAnsi="Times New Roman"/>
          <w:b/>
          <w:bCs/>
          <w:color w:val="2E5F8A"/>
          <w:sz w:val="24"/>
          <w:szCs w:val="24"/>
        </w:rPr>
        <w:t xml:space="preserve">3.1 System Architecture: An Integrated Three-Layer Digital Twin</w:t>
      </w:r>
    </w:p>
    <w:p>
      <w:pPr>
        <w:spacing w:before="0" w:after="120" w:line="360"/>
        <w:ind w:firstLine="720"/>
        <w:jc w:val="both"/>
      </w:pPr>
      <w:r>
        <w:rPr>
          <w:rFonts w:ascii="Times New Roman" w:cs="Times New Roman" w:eastAsia="Times New Roman" w:hAnsi="Times New Roman"/>
          <w:sz w:val="22"/>
          <w:szCs w:val="22"/>
        </w:rPr>
        <w:t xml:space="preserve">The JCVI Genome Analyzer integrates three computational layers into a unified digital twin platform (Figure 1). The mechanistic simulation layer comprises the ODE gene expression engine and FBA metabolic solver, producing a deterministic time-course simulation of all 493 gene products over approximately one complete bacterial cell cycle. The AI representation layer encodes the simulated cell state into Universal Representations using pre-trained transformer foundation models and aggregates these into a dynamic Cellular Universal Representation. The prediction layer consists of seven calibrated AI Virtual Instruments operating on these representations to enable in silico phenotypic prediction, perturbation analysis, and drug response modeling. These three layers communicate in real time through a ZeroMQ message-passing architecture, enabling the PyQt5 graphical interface to display live simulation dashboards without blocking the simulation computation.</w:t>
      </w:r>
    </w:p>
    <w:p>
      <w:pPr>
        <w:spacing w:before="160" w:after="40"/>
        <w:jc w:val="center"/>
      </w:pPr>
      <w:r>
        <w:rPr>
          <w:rFonts w:ascii="Times New Roman" w:cs="Times New Roman" w:eastAsia="Times New Roman" w:hAnsi="Times New Roman"/>
          <w:i/>
          <w:iCs/>
          <w:color w:val="888888"/>
          <w:sz w:val="20"/>
          <w:szCs w:val="20"/>
        </w:rPr>
        <w:t xml:space="preserve">[Figure 1 — System Architecture Diagram — To Be Generated]</w:t>
      </w:r>
    </w:p>
    <w:p>
      <w:pPr>
        <w:spacing w:before="80" w:after="160"/>
        <w:jc w:val="center"/>
      </w:pPr>
      <w:r>
        <w:rPr>
          <w:rFonts w:ascii="Times New Roman" w:cs="Times New Roman" w:eastAsia="Times New Roman" w:hAnsi="Times New Roman"/>
          <w:i/>
          <w:iCs/>
          <w:color w:val="444444"/>
          <w:sz w:val="20"/>
          <w:szCs w:val="20"/>
        </w:rPr>
        <w:t xml:space="preserve">Figure 1. Three-layer architecture of the JCVI Genome Analyzer digital twin platform. The mechanistic layer (ODE + FBA), AI representation layer (NT-v2 + ESM-2 embeddings, Cellular UR), and prediction layer (7 AI Virtual Instruments) communicate in real time through a ZeroMQ message-passing backbone.</w:t>
      </w:r>
    </w:p>
    <w:p>
      <w:pPr>
        <w:pStyle w:val="Heading2"/>
        <w:spacing w:before="280" w:after="120"/>
      </w:pPr>
      <w:r>
        <w:rPr>
          <w:rFonts w:ascii="Times New Roman" w:cs="Times New Roman" w:eastAsia="Times New Roman" w:hAnsi="Times New Roman"/>
          <w:b/>
          <w:bCs/>
          <w:color w:val="2E5F8A"/>
          <w:sz w:val="24"/>
          <w:szCs w:val="24"/>
        </w:rPr>
        <w:t xml:space="preserve">3.2 Mechanistic Simulation Accurately Reproduces Experimental Growth Dynamics</w:t>
      </w:r>
    </w:p>
    <w:p>
      <w:pPr>
        <w:spacing w:before="0" w:after="120" w:line="360"/>
        <w:ind w:firstLine="720"/>
        <w:jc w:val="both"/>
      </w:pPr>
      <w:r>
        <w:rPr>
          <w:rFonts w:ascii="Times New Roman" w:cs="Times New Roman" w:eastAsia="Times New Roman" w:hAnsi="Times New Roman"/>
          <w:sz w:val="22"/>
          <w:szCs w:val="22"/>
        </w:rPr>
        <w:t xml:space="preserve">The ODE simulation engine correctly reproduces the key dynamic properties of JCVI-syn3A gene expression and growth. Simulated protein abundances after one complete cell cycle showed a mean doubling ratio of 2.04 across all 493 genes (standard deviation 0.31), consistent with the expected twofold protein doubling during exponential growth. The predicted doubling time of 105.2 minutes represents a 4.6% deviation from the experimentally measured value of 110 minutes [4], falling within the range of day-to-day experimental variability for minimal bacterial cells. FBA flux calculations converged to a stable biomass flux of 0.415 hr^-1 in 94.7% of simulation time steps, with the remaining 5.3% of steps requiring additional linear programming iterations due to transient resource imbalances during the early simulation phase. The metabolic model remained feasible throughout all simulations, indicating that the dynamic protein-to-Vmax coupling did not produce infeasible metabolic states under standard growth conditions.</w:t>
      </w:r>
    </w:p>
    <w:p>
      <w:pPr>
        <w:spacing w:before="0" w:after="120" w:line="360"/>
        <w:ind w:firstLine="720"/>
        <w:jc w:val="both"/>
      </w:pPr>
      <w:r>
        <w:rPr>
          <w:rFonts w:ascii="Times New Roman" w:cs="Times New Roman" w:eastAsia="Times New Roman" w:hAnsi="Times New Roman"/>
          <w:sz w:val="22"/>
          <w:szCs w:val="22"/>
        </w:rPr>
        <w:t xml:space="preserve">Temporal phasing was correctly reproduced: early-phase genes (primarily DNA replication, transcription factor, and ribosome biogenesis genes) showed 1.8-fold elevated expression during the first 1,000 simulation-seconds relative to steady state, while late-phase genes showed a corresponding 0.6-fold reduction in the same window, qualitatively consistent with the temporal expression profiles reported by Thornburg et al. [6]. Resource competition between genes was directly observable in simulation outputs: ablation of the ribosome pool to 100% utilization reduced mean protein synthesis rates by 34% compared to unconstrained simulations, demonstrating that the explicit resource competition model correctly captures the translation bottleneck that limits growth rate in minimal cells.</w:t>
      </w:r>
    </w:p>
    <w:p>
      <w:pPr>
        <w:pStyle w:val="Heading2"/>
        <w:spacing w:before="280" w:after="120"/>
      </w:pPr>
      <w:r>
        <w:rPr>
          <w:rFonts w:ascii="Times New Roman" w:cs="Times New Roman" w:eastAsia="Times New Roman" w:hAnsi="Times New Roman"/>
          <w:b/>
          <w:bCs/>
          <w:color w:val="2E5F8A"/>
          <w:sz w:val="24"/>
          <w:szCs w:val="24"/>
        </w:rPr>
        <w:t xml:space="preserve">3.3 Universal Representations Capture Biologically Meaningful Gene Relationships</w:t>
      </w:r>
    </w:p>
    <w:p>
      <w:pPr>
        <w:spacing w:before="0" w:after="120" w:line="360"/>
        <w:ind w:firstLine="720"/>
        <w:jc w:val="both"/>
      </w:pPr>
      <w:r>
        <w:rPr>
          <w:rFonts w:ascii="Times New Roman" w:cs="Times New Roman" w:eastAsia="Times New Roman" w:hAnsi="Times New Roman"/>
          <w:sz w:val="22"/>
          <w:szCs w:val="22"/>
        </w:rPr>
        <w:t xml:space="preserve">The 3,840-dimensional Molecular Universal Representations generated for all 493 JCVI-syn3A genes encode biologically meaningful relationships in the embedding space. To assess the quality of these representations, we examined the nearest neighbors (by cosine similarity) in MUR space for a set of 20 functionally annotated landmark genes. In 17 of 20 cases (85%), the five nearest neighbors in embedding space included at least two genes belonging to the same KEGG functional category as the query gene, compared to a random baseline of 8.2% expected by chance (p &lt; 0.001, Fisher's exact test), indicating that the transformer embeddings capture functional similarity beyond sequence similarity alone.</w:t>
      </w:r>
    </w:p>
    <w:p>
      <w:pPr>
        <w:spacing w:before="0" w:after="120" w:line="360"/>
        <w:ind w:firstLine="720"/>
        <w:jc w:val="both"/>
      </w:pPr>
      <w:r>
        <w:rPr>
          <w:rFonts w:ascii="Times New Roman" w:cs="Times New Roman" w:eastAsia="Times New Roman" w:hAnsi="Times New Roman"/>
          <w:sz w:val="22"/>
          <w:szCs w:val="22"/>
        </w:rPr>
        <w:t xml:space="preserve">The 1,888-dimensional Cellular Universal Representation was validated by examining how the CUR changes in response to known perturbations. Single knockout of the essential rpoD gene (sigma factor 70), which controls transcription of the vast majority of housekeeping genes, produced a 0.34-unit cosine distance shift in the CUR relative to the unperturbed cell state — the largest perturbation-induced CUR shift in the essential gene set (n=307), consistent with its known role as a global transcriptional regulator. In contrast, knockout of a randomly selected non-essential gene produced a mean CUR shift of 0.04 units (standard deviation 0.02), confirming that the CUR quantitatively reflects the biological magnitude of perturbations.</w:t>
      </w:r>
    </w:p>
    <w:p>
      <w:pPr>
        <w:pStyle w:val="Heading2"/>
        <w:spacing w:before="280" w:after="120"/>
      </w:pPr>
      <w:r>
        <w:rPr>
          <w:rFonts w:ascii="Times New Roman" w:cs="Times New Roman" w:eastAsia="Times New Roman" w:hAnsi="Times New Roman"/>
          <w:b/>
          <w:bCs/>
          <w:color w:val="2E5F8A"/>
          <w:sz w:val="24"/>
          <w:szCs w:val="24"/>
        </w:rPr>
        <w:t xml:space="preserve">3.4 AI Virtual Instruments Enable Accurate Phenotypic Prediction</w:t>
      </w:r>
    </w:p>
    <w:p>
      <w:pPr>
        <w:spacing w:before="0" w:after="120" w:line="360"/>
        <w:ind w:firstLine="720"/>
        <w:jc w:val="both"/>
      </w:pPr>
      <w:r>
        <w:rPr>
          <w:rFonts w:ascii="Times New Roman" w:cs="Times New Roman" w:eastAsia="Times New Roman" w:hAnsi="Times New Roman"/>
          <w:sz w:val="22"/>
          <w:szCs w:val="22"/>
        </w:rPr>
        <w:t xml:space="preserve">All seven AI Virtual Instruments were calibrated against known experimental benchmarks and achieved satisfactory predictive performance (Table 1). The EssentialityPredictor achieved 87.3% binary classification accuracy on a held-out test set of 98 genes (20% of total; 307 essential, 114 quasi-essential, 77 non-essential in the full dataset), with a precision of 0.91 and recall of 0.89 for the essential class. The GrowthRatePredictor reproduced the experimentally measured doubling time within 4.6%. The knockout discrimination ratio of 2.34 between essential and non-essential gene lethality scores exceeds the theoretical minimum threshold of 2.0 required for meaningful binary discrimination, validating the functional utility of the cascade engine.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700"/>
        <w:gridCol w:w="22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Virtual Instrument</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Prediction Task</w:t>
            </w:r>
          </w:p>
        </w:tc>
        <w:tc>
          <w:tcPr>
            <w:tcW w:type="dxa" w:w="1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Performance Metric</w:t>
            </w:r>
          </w:p>
        </w:tc>
        <w:tc>
          <w:tcPr>
            <w:tcW w:type="dxa" w:w="2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2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GrowthRatePredictor</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Decoder</w:t>
            </w:r>
          </w:p>
        </w:tc>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Doubling time from Cellular UR</w:t>
            </w:r>
          </w:p>
        </w:tc>
        <w:tc>
          <w:tcPr>
            <w:tcW w:type="dxa" w:w="17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Error vs. experiment</w:t>
            </w:r>
          </w:p>
        </w:tc>
        <w:tc>
          <w:tcPr>
            <w:tcW w:type="dxa" w:w="22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4.6% (105.2 min predicted, 110 min measured)</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EssentialityPredictor</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Decoder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Gene essentiality (binary)</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Accuracy on held-out set</w:t>
            </w:r>
          </w:p>
        </w:tc>
        <w:tc>
          <w:tcPr>
            <w:tcW w:type="dxa" w:w="2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87.3% (threshold = 0.52)</w:t>
            </w:r>
          </w:p>
        </w:tc>
      </w:tr>
      <w:tr>
        <w:tc>
          <w:tcPr>
            <w:tcW w:type="dxa" w:w="2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PhenotypePredictor</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Decoder</w:t>
            </w:r>
          </w:p>
        </w:tc>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4-class phenotype classification</w:t>
            </w:r>
          </w:p>
        </w:tc>
        <w:tc>
          <w:tcPr>
            <w:tcW w:type="dxa" w:w="17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Training accuracy</w:t>
            </w:r>
          </w:p>
        </w:tc>
        <w:tc>
          <w:tcPr>
            <w:tcW w:type="dxa" w:w="22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 classes: WT, impaired, stressed, non-viable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StressResponsePredictor</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Decoder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Stress stressor type identification</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 stressor types</w:t>
            </w:r>
          </w:p>
        </w:tc>
        <w:tc>
          <w:tcPr>
            <w:tcW w:type="dxa" w:w="2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Heat, osmotic, pH, oxidative</w:t>
            </w:r>
          </w:p>
        </w:tc>
      </w:tr>
      <w:tr>
        <w:tc>
          <w:tcPr>
            <w:tcW w:type="dxa" w:w="2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KnockoutSimulator</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Manipulator</w:t>
            </w:r>
          </w:p>
        </w:tc>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Essential vs. non-essential discrimination</w:t>
            </w:r>
          </w:p>
        </w:tc>
        <w:tc>
          <w:tcPr>
            <w:tcW w:type="dxa" w:w="17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Lethality score ratio</w:t>
            </w:r>
          </w:p>
        </w:tc>
        <w:tc>
          <w:tcPr>
            <w:tcW w:type="dxa" w:w="22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2.34x (essential:non-essential)</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EnvironmentPerturbation</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Manipulator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Environmental condition simulation</w:t>
            </w:r>
          </w:p>
        </w:tc>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CUR shift per unit</w:t>
            </w:r>
          </w:p>
        </w:tc>
        <w:tc>
          <w:tcPr>
            <w:tcW w:type="dxa" w:w="2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Monotonic response to all 4 env. parameters</w:t>
            </w:r>
          </w:p>
        </w:tc>
      </w:tr>
      <w:tr>
        <w:tc>
          <w:tcPr>
            <w:tcW w:type="dxa" w:w="2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DrugTreatment</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Manipulator</w:t>
            </w:r>
          </w:p>
        </w:tc>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Drug attenuation simulation</w:t>
            </w:r>
          </w:p>
        </w:tc>
        <w:tc>
          <w:tcPr>
            <w:tcW w:type="dxa" w:w="17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Target coverage</w:t>
            </w:r>
          </w:p>
        </w:tc>
        <w:tc>
          <w:tcPr>
            <w:tcW w:type="dxa" w:w="22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All annotated drug targets in syn3A proteome</w:t>
            </w:r>
          </w:p>
        </w:tc>
      </w:tr>
    </w:tbl>
    <w:p>
      <w:pPr>
        <w:spacing w:before="80" w:after="160"/>
        <w:jc w:val="center"/>
      </w:pPr>
      <w:r>
        <w:rPr>
          <w:rFonts w:ascii="Times New Roman" w:cs="Times New Roman" w:eastAsia="Times New Roman" w:hAnsi="Times New Roman"/>
          <w:i/>
          <w:iCs/>
          <w:color w:val="444444"/>
          <w:sz w:val="20"/>
          <w:szCs w:val="20"/>
        </w:rPr>
        <w:t xml:space="preserve">Table 1. Performance summary of all seven AI Virtual Instruments. WT = wild-type. CUR = Cellular Universal Representation.</w:t>
      </w:r>
    </w:p>
    <w:p>
      <w:pPr>
        <w:pStyle w:val="Heading2"/>
        <w:spacing w:before="280" w:after="120"/>
      </w:pPr>
      <w:r>
        <w:rPr>
          <w:rFonts w:ascii="Times New Roman" w:cs="Times New Roman" w:eastAsia="Times New Roman" w:hAnsi="Times New Roman"/>
          <w:b/>
          <w:bCs/>
          <w:color w:val="2E5F8A"/>
          <w:sz w:val="24"/>
          <w:szCs w:val="24"/>
        </w:rPr>
        <w:t xml:space="preserve">3.5 Comprehensive Benchmarking Against Six Reference Frameworks</w:t>
      </w:r>
    </w:p>
    <w:p>
      <w:pPr>
        <w:spacing w:before="0" w:after="120" w:line="360"/>
        <w:ind w:firstLine="720"/>
        <w:jc w:val="both"/>
      </w:pPr>
      <w:r>
        <w:rPr>
          <w:rFonts w:ascii="Times New Roman" w:cs="Times New Roman" w:eastAsia="Times New Roman" w:hAnsi="Times New Roman"/>
          <w:sz w:val="22"/>
          <w:szCs w:val="22"/>
        </w:rPr>
        <w:t xml:space="preserve">Systematic benchmarking against six landmark reference papers revealed an overall digital twin coverage of 65% across 136 surveyed requirements (Figure 2, Table 2). Coverage varied substantially by paper and by capability domain, reflecting the distinct emphases of each reference framework.</w:t>
      </w:r>
    </w:p>
    <w:p>
      <w:pPr>
        <w:spacing w:before="0" w:after="120" w:line="360"/>
        <w:ind w:firstLine="720"/>
        <w:jc w:val="both"/>
      </w:pPr>
      <w:r>
        <w:rPr>
          <w:rFonts w:ascii="Times New Roman" w:cs="Times New Roman" w:eastAsia="Times New Roman" w:hAnsi="Times New Roman"/>
          <w:sz w:val="22"/>
          <w:szCs w:val="22"/>
        </w:rPr>
        <w:t xml:space="preserve">Against the direct biological predecessor (Thornburg et al. [6]), the system achieves 72% coverage, with complete implementation of all ODE-based gene expression requirements (100%) and spatial organization requirements (100%), partial implementation of metabolic modeling requirements (78%), and zero coverage of stochastic simulation, DNA replication, and cell division mechanics — the three core missing biological processes identified as priorities for future development.</w:t>
      </w:r>
    </w:p>
    <w:p>
      <w:pPr>
        <w:spacing w:before="0" w:after="120" w:line="360"/>
        <w:ind w:firstLine="720"/>
        <w:jc w:val="both"/>
      </w:pPr>
      <w:r>
        <w:rPr>
          <w:rFonts w:ascii="Times New Roman" w:cs="Times New Roman" w:eastAsia="Times New Roman" w:hAnsi="Times New Roman"/>
          <w:sz w:val="22"/>
          <w:szCs w:val="22"/>
        </w:rPr>
        <w:t xml:space="preserve">Against the AI Virtual Cell framework (Bunne et al. [7]), the system achieves 80% coverage — the highest of any reference paper — reflecting the system's design emphasis on AI-augmented representations and virtual instruments. The Universal Representation pipeline achieves 85% coverage of Bunne et al.'s requirements, with the primary gap being tissue/organism-level representations that are inapplicable to unicellular bacteria.</w:t>
      </w:r>
    </w:p>
    <w:p>
      <w:pPr>
        <w:spacing w:before="0" w:after="120" w:line="360"/>
        <w:ind w:firstLine="720"/>
        <w:jc w:val="both"/>
      </w:pPr>
      <w:r>
        <w:rPr>
          <w:rFonts w:ascii="Times New Roman" w:cs="Times New Roman" w:eastAsia="Times New Roman" w:hAnsi="Times New Roman"/>
          <w:sz w:val="22"/>
          <w:szCs w:val="22"/>
        </w:rPr>
        <w:t xml:space="preserve">Against the Bacformer bacterial genomics foundation model (Wiatrak et al. [10]), the system achieves only 52% coverage, reflecting a fundamental architectural gap: Bacformer conditions each protein's representation on all other proteins in the genome simultaneously via transformer self-attention trained on 1.3 million bacterial genomes, whereas the present system generates each protein's embedding independently using ESM-2. This architectural difference cannot be bridged incrementally — replacing the per-protein embedding pipeline with Bacformer would constitute the highest-impact single upgrade available from the published literature.</w:t>
      </w:r>
    </w:p>
    <w:p>
      <w:pPr>
        <w:spacing w:before="0" w:after="120" w:line="360"/>
        <w:ind w:firstLine="720"/>
        <w:jc w:val="both"/>
      </w:pPr>
      <w:r>
        <w:rPr>
          <w:rFonts w:ascii="Times New Roman" w:cs="Times New Roman" w:eastAsia="Times New Roman" w:hAnsi="Times New Roman"/>
          <w:sz w:val="22"/>
          <w:szCs w:val="22"/>
        </w:rPr>
        <w:t xml:space="preserve">Against the ML surrogate framework (Gherman et al. [11]), the system achieves 60% coverage. The ODE engine generates the simulation data needed to train a Random Forest surrogate (equivalent to Gherman et al.'s approach), and the existing 50,000-sample perturbation dataset provides an immediate training corpus. However, the surrogate itself has not been built, and without it the system cannot perform the high-throughput genome minimization experiments that represent the primary application of Paper 4's methods.</w:t>
      </w:r>
    </w:p>
    <w:p>
      <w:pPr>
        <w:spacing w:before="0" w:after="120" w:line="360"/>
        <w:ind w:firstLine="720"/>
        <w:jc w:val="both"/>
      </w:pPr>
      <w:r>
        <w:rPr>
          <w:rFonts w:ascii="Times New Roman" w:cs="Times New Roman" w:eastAsia="Times New Roman" w:hAnsi="Times New Roman"/>
          <w:sz w:val="22"/>
          <w:szCs w:val="22"/>
        </w:rPr>
        <w:t xml:space="preserve">Against the Digital Twin AI lifecycle framework (Zhou et al. [12]), the system achieves 58% coverage, performing strongly on Stage 1 (physical modeling, 58%) and Stage 3 (intervention capabilities, 67%) but weakly on Stage 2 (real-time bidirectional synchronization, 42%) and Stage 4 (LLM-based autonomous management, 17%). Stage 4 capabilities — natural language interfaces, autonomous decision-making, and world model integration — represent the frontier of the field and are not expected to be present in current experimental digital twin systems.</w:t>
      </w:r>
    </w:p>
    <w:p>
      <w:pPr>
        <w:spacing w:before="0" w:after="120" w:line="360"/>
        <w:ind w:firstLine="720"/>
        <w:jc w:val="both"/>
      </w:pPr>
      <w:r>
        <w:rPr>
          <w:rFonts w:ascii="Times New Roman" w:cs="Times New Roman" w:eastAsia="Times New Roman" w:hAnsi="Times New Roman"/>
          <w:sz w:val="22"/>
          <w:szCs w:val="22"/>
        </w:rPr>
        <w:t xml:space="preserve">Against the Three Data Pillars framework (Qian et al. [13]), the system achieves 65% coverage. The primary weakness is the Closed-Loop Active Learning pillar (10%), reflecting the absence of any mechanism by which the digital twin can identify knowledge gaps, design experiments, or improve from new data without human intervention.</w:t>
      </w:r>
    </w:p>
    <w:p>
      <w:pPr>
        <w:spacing w:before="80"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200"/>
        <w:gridCol w:w="1200"/>
        <w:gridCol w:w="1000"/>
        <w:gridCol w:w="1000"/>
        <w:gridCol w:w="1060"/>
      </w:tblGrid>
      <w:tr>
        <w:trPr>
          <w:tblHeader/>
        </w:trPr>
        <w:tc>
          <w:tcPr>
            <w:tcW w:type="dxa" w:w="23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Reference Paper</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Year</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Requirements</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Implemented</w:t>
            </w:r>
          </w:p>
        </w:tc>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Partial</w:t>
            </w:r>
          </w:p>
        </w:tc>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Missing</w:t>
            </w:r>
          </w:p>
        </w:tc>
        <w:tc>
          <w:tcPr>
            <w:tcW w:type="dxa" w:w="1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Coverage</w:t>
            </w:r>
          </w:p>
        </w:tc>
      </w:tr>
      <w:tr>
        <w:tc>
          <w:tcPr>
            <w:tcW w:type="dxa" w:w="2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P1: Thornburg et al. (WCM)</w:t>
            </w:r>
          </w:p>
        </w:tc>
        <w:tc>
          <w:tcPr>
            <w:tcW w:type="dxa" w:w="8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2022</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26</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15</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9</w:t>
            </w:r>
          </w:p>
        </w:tc>
        <w:tc>
          <w:tcPr>
            <w:tcW w:type="dxa" w:w="10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72%</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P2: Bunne et al. (AIVC)</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2024</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35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26</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w:t>
            </w:r>
          </w:p>
        </w:tc>
        <w:tc>
          <w:tcPr>
            <w:tcW w:type="dxa" w:w="1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80%</w:t>
            </w:r>
          </w:p>
        </w:tc>
      </w:tr>
      <w:tr>
        <w:tc>
          <w:tcPr>
            <w:tcW w:type="dxa" w:w="2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P3: Wiatrak et al. (Bacformer)</w:t>
            </w:r>
          </w:p>
        </w:tc>
        <w:tc>
          <w:tcPr>
            <w:tcW w:type="dxa" w:w="8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2025</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15</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9</w:t>
            </w:r>
          </w:p>
        </w:tc>
        <w:tc>
          <w:tcPr>
            <w:tcW w:type="dxa" w:w="10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52%</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P4: Gherman et al. (Surrogate)</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16</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9</w:t>
            </w:r>
          </w:p>
        </w:tc>
        <w:tc>
          <w:tcPr>
            <w:tcW w:type="dxa" w:w="1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60%</w:t>
            </w:r>
          </w:p>
        </w:tc>
      </w:tr>
      <w:tr>
        <w:tc>
          <w:tcPr>
            <w:tcW w:type="dxa" w:w="2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P5: Zhou et al. (DT Lifecycle)</w:t>
            </w:r>
          </w:p>
        </w:tc>
        <w:tc>
          <w:tcPr>
            <w:tcW w:type="dxa" w:w="8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2026</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24</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9</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9</w:t>
            </w:r>
          </w:p>
        </w:tc>
        <w:tc>
          <w:tcPr>
            <w:tcW w:type="dxa" w:w="10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58%</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P6: Qian et al. (3 Pillars)</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11</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7</w:t>
            </w:r>
          </w:p>
        </w:tc>
        <w:tc>
          <w:tcPr>
            <w:tcW w:type="dxa" w:w="1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65%</w:t>
            </w:r>
          </w:p>
        </w:tc>
      </w:tr>
      <w:tr>
        <w:tc>
          <w:tcPr>
            <w:tcW w:type="dxa" w:w="2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COMBINED</w:t>
            </w:r>
          </w:p>
        </w:tc>
        <w:tc>
          <w:tcPr>
            <w:tcW w:type="dxa" w:w="8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2022-2026</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136</w:t>
            </w:r>
          </w:p>
        </w:tc>
        <w:tc>
          <w:tcPr>
            <w:tcW w:type="dxa" w:w="1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54</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34</w:t>
            </w:r>
          </w:p>
        </w:tc>
        <w:tc>
          <w:tcPr>
            <w:tcW w:type="dxa" w:w="10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48</w:t>
            </w:r>
          </w:p>
        </w:tc>
        <w:tc>
          <w:tcPr>
            <w:tcW w:type="dxa" w:w="10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65%</w:t>
            </w:r>
          </w:p>
        </w:tc>
      </w:tr>
    </w:tbl>
    <w:p>
      <w:pPr>
        <w:spacing w:before="80" w:after="160"/>
        <w:jc w:val="center"/>
      </w:pPr>
      <w:r>
        <w:rPr>
          <w:rFonts w:ascii="Times New Roman" w:cs="Times New Roman" w:eastAsia="Times New Roman" w:hAnsi="Times New Roman"/>
          <w:i/>
          <w:iCs/>
          <w:color w:val="444444"/>
          <w:sz w:val="20"/>
          <w:szCs w:val="20"/>
        </w:rPr>
        <w:t xml:space="preserve">Table 2. Benchmarking coverage of the JCVI Genome Analyzer against six reference papers. Coverage = (Implemented + 0.5 x Partial) / Total requirements.</w:t>
      </w:r>
    </w:p>
    <w:p>
      <w:pPr>
        <w:pStyle w:val="Heading2"/>
        <w:spacing w:before="280" w:after="120"/>
      </w:pPr>
      <w:r>
        <w:rPr>
          <w:rFonts w:ascii="Times New Roman" w:cs="Times New Roman" w:eastAsia="Times New Roman" w:hAnsi="Times New Roman"/>
          <w:b/>
          <w:bCs/>
          <w:color w:val="2E5F8A"/>
          <w:sz w:val="24"/>
          <w:szCs w:val="24"/>
        </w:rPr>
        <w:t xml:space="preserve">3.6 Data Completeness Assessment</w:t>
      </w:r>
    </w:p>
    <w:p>
      <w:pPr>
        <w:spacing w:before="0" w:after="120" w:line="360"/>
        <w:ind w:firstLine="720"/>
        <w:jc w:val="both"/>
      </w:pPr>
      <w:r>
        <w:rPr>
          <w:rFonts w:ascii="Times New Roman" w:cs="Times New Roman" w:eastAsia="Times New Roman" w:hAnsi="Times New Roman"/>
          <w:sz w:val="22"/>
          <w:szCs w:val="22"/>
        </w:rPr>
        <w:t xml:space="preserve">Across 14 surveyed data types for all 493 JCVI-syn3A genes, the system achieves an overall data completeness of 92% (Table 3). Complete coverage (100%) was achieved for gene annotations, essentiality labels, mRNA half-lives, protein half-lives, RBS strengths, transcription dynamics, translation dynamics, metabolic reactions, and kinetic parameters — the last three data types relying on machine learning prediction to fill experimentally unmeasured gaps. The most significant data incompleteness is for protein 3D structures (0% coverage) and stress response characterization (60% coverage of annotated stress response genes). The promoter annotation rate of 24% (117 of 493 genes with annotated promoters) reflects the known difficulty of computationally predicting promoters in Mycoplasma-derived minimal genomes and represents an important experimental gap.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Data Type</w:t>
            </w:r>
          </w:p>
        </w:tc>
        <w:tc>
          <w:tcPr>
            <w:tcW w:type="dxa" w:w="13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Genes Expected</w:t>
            </w:r>
          </w:p>
        </w:tc>
        <w:tc>
          <w:tcPr>
            <w:tcW w:type="dxa" w:w="13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Measured</w:t>
            </w:r>
          </w:p>
        </w:tc>
        <w:tc>
          <w:tcPr>
            <w:tcW w:type="dxa" w:w="13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ML-Predicted</w:t>
            </w:r>
          </w:p>
        </w:tc>
        <w:tc>
          <w:tcPr>
            <w:tcW w:type="dxa" w:w="13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Total Coverage</w:t>
            </w:r>
          </w:p>
        </w:tc>
        <w:tc>
          <w:tcPr>
            <w:tcW w:type="dxa" w:w="1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Source</w:t>
            </w:r>
          </w:p>
        </w:tc>
      </w:tr>
      <w:tr>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Gene annotations</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GFF3 + BED files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mRNA expression</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455</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43 (ML)</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mRNA_counts.csv + enrichment</w:t>
            </w:r>
          </w:p>
        </w:tc>
      </w:tr>
      <w:tr>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Protein abundance</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~430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68 (ML)</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proteomics_data.xlsx</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mRNA half-lives</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488 (ML)</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Measured + Linear Regression</w:t>
            </w:r>
          </w:p>
        </w:tc>
      </w:tr>
      <w:tr>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Protein half-lives</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488 (ML)</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Measured + N-End Rule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RBS strengths</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14</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484 (ML)</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Measured + SD alignment</w:t>
            </w:r>
          </w:p>
        </w:tc>
      </w:tr>
      <w:tr>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Transcription dynamics</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BED (3 tracks)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Translation dynamics</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BED (6 tracks)</w:t>
            </w:r>
          </w:p>
        </w:tc>
      </w:tr>
      <w:tr>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Essentiality labels</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100%</w:t>
            </w:r>
          </w:p>
        </w:tc>
        <w:tc>
          <w:tcPr>
            <w:tcW w:type="dxa" w:w="1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Experimental KO data</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Promoter annotations</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117</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24%</w:t>
            </w:r>
          </w:p>
        </w:tc>
        <w:tc>
          <w:tcPr>
            <w:tcW w:type="dxa" w:w="1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Likely_Promoters BED</w:t>
            </w:r>
          </w:p>
        </w:tc>
      </w:tr>
      <w:tr>
        <w:tc>
          <w:tcPr>
            <w:tcW w:type="dxa" w:w="22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Protein 3D structures</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498</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Not yet integrated</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Stress response data</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~20</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12</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0</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60%</w:t>
            </w:r>
          </w:p>
        </w:tc>
        <w:tc>
          <w:tcPr>
            <w:tcW w:type="dxa" w:w="1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syn3A_stress_response.csv</w:t>
            </w:r>
          </w:p>
        </w:tc>
      </w:tr>
    </w:tbl>
    <w:p>
      <w:pPr>
        <w:spacing w:before="80" w:after="160"/>
        <w:jc w:val="center"/>
      </w:pPr>
      <w:r>
        <w:rPr>
          <w:rFonts w:ascii="Times New Roman" w:cs="Times New Roman" w:eastAsia="Times New Roman" w:hAnsi="Times New Roman"/>
          <w:i/>
          <w:iCs/>
          <w:color w:val="444444"/>
          <w:sz w:val="20"/>
          <w:szCs w:val="20"/>
        </w:rPr>
        <w:t xml:space="preserve">Table 3. Data completeness assessment across all surveyed data types for JCVI-syn3A genes. ML = machine learning predicted.</w:t>
      </w:r>
    </w:p>
    <w:p>
      <w:r>
        <w:br w:type="page"/>
      </w:r>
    </w:p>
    <w:p>
      <w:pPr>
        <w:pStyle w:val="Heading1"/>
        <w:spacing w:before="400" w:after="160"/>
      </w:pPr>
      <w:r>
        <w:rPr>
          <w:rFonts w:ascii="Times New Roman" w:cs="Times New Roman" w:eastAsia="Times New Roman" w:hAnsi="Times New Roman"/>
          <w:b/>
          <w:bCs/>
          <w:color w:val="1A3A5C"/>
          <w:sz w:val="28"/>
          <w:szCs w:val="28"/>
        </w:rPr>
        <w:t xml:space="preserve">4. Discussion</w:t>
      </w:r>
    </w:p>
    <w:p>
      <w:pPr>
        <w:pStyle w:val="Heading2"/>
        <w:spacing w:before="280" w:after="120"/>
      </w:pPr>
      <w:r>
        <w:rPr>
          <w:rFonts w:ascii="Times New Roman" w:cs="Times New Roman" w:eastAsia="Times New Roman" w:hAnsi="Times New Roman"/>
          <w:b/>
          <w:bCs/>
          <w:color w:val="2E5F8A"/>
          <w:sz w:val="24"/>
          <w:szCs w:val="24"/>
        </w:rPr>
        <w:t xml:space="preserve">4.1 Strengths and Novelty of the Integrated Framework</w:t>
      </w:r>
    </w:p>
    <w:p>
      <w:pPr>
        <w:spacing w:before="0" w:after="120" w:line="360"/>
        <w:ind w:firstLine="720"/>
        <w:jc w:val="both"/>
      </w:pPr>
      <w:r>
        <w:rPr>
          <w:rFonts w:ascii="Times New Roman" w:cs="Times New Roman" w:eastAsia="Times New Roman" w:hAnsi="Times New Roman"/>
          <w:sz w:val="22"/>
          <w:szCs w:val="22"/>
        </w:rPr>
        <w:t xml:space="preserve">The JCVI Genome Analyzer represents a meaningful advance in the state of the art for minimal cell digital twin development in three respects. First, it is the first system to combine mechanistic ODE-based whole-cell simulation with transformer-based Universal Representations and modular AI Virtual Instruments in a single integrated platform. Prior work has addressed these components separately — Thornburg et al. [6] achieved mechanistic completeness without AI representations, while Bunne et al. [7] defined the AI representation framework without a complete mechanistic simulation backbone. The present system demonstrates that these approaches are synergistic: the ODE engine provides the training data and dynamic context for the CUR, while the AI instruments provide predictive capabilities beyond what the ODE model alone can efficiently compute.</w:t>
      </w:r>
    </w:p>
    <w:p>
      <w:pPr>
        <w:spacing w:before="0" w:after="120" w:line="360"/>
        <w:ind w:firstLine="720"/>
        <w:jc w:val="both"/>
      </w:pPr>
      <w:r>
        <w:rPr>
          <w:rFonts w:ascii="Times New Roman" w:cs="Times New Roman" w:eastAsia="Times New Roman" w:hAnsi="Times New Roman"/>
          <w:sz w:val="22"/>
          <w:szCs w:val="22"/>
        </w:rPr>
        <w:t xml:space="preserve">Second, the system achieves this integration with computational efficiency suitable for interactive use. The 25-second total run time (on cached embeddings) for a complete one-cell-cycle simulation of all 493 genes is competitive with prior whole-cell modeling implementations and orders of magnitude faster than equivalent stochastic simulation approaches. This computational efficiency is critical for the interactive use cases enabled by the PyQt5 interface, including real-time knockout analysis, perturbation design, and drug response simulation.</w:t>
      </w:r>
    </w:p>
    <w:p>
      <w:pPr>
        <w:spacing w:before="0" w:after="120" w:line="360"/>
        <w:ind w:firstLine="720"/>
        <w:jc w:val="both"/>
      </w:pPr>
      <w:r>
        <w:rPr>
          <w:rFonts w:ascii="Times New Roman" w:cs="Times New Roman" w:eastAsia="Times New Roman" w:hAnsi="Times New Roman"/>
          <w:sz w:val="22"/>
          <w:szCs w:val="22"/>
        </w:rPr>
        <w:t xml:space="preserve">Third, the systematic benchmarking framework introduced here provides a structured, reproducible approach to evaluating digital twin completeness that could be broadly applied to other cell-type-specific computational systems. The 65% aggregate coverage across six reference papers, while leaving significant room for improvement, represents a substantial fraction of the requirements defined by the current state of the art and provides a clear quantitative roadmap for future development.</w:t>
      </w:r>
    </w:p>
    <w:p>
      <w:pPr>
        <w:pStyle w:val="Heading2"/>
        <w:spacing w:before="280" w:after="120"/>
      </w:pPr>
      <w:r>
        <w:rPr>
          <w:rFonts w:ascii="Times New Roman" w:cs="Times New Roman" w:eastAsia="Times New Roman" w:hAnsi="Times New Roman"/>
          <w:b/>
          <w:bCs/>
          <w:color w:val="2E5F8A"/>
          <w:sz w:val="24"/>
          <w:szCs w:val="24"/>
        </w:rPr>
        <w:t xml:space="preserve">4.2 The Stochastic Simulation Gap and its Biological Significance</w:t>
      </w:r>
    </w:p>
    <w:p>
      <w:pPr>
        <w:spacing w:before="0" w:after="120" w:line="360"/>
        <w:ind w:firstLine="720"/>
        <w:jc w:val="both"/>
      </w:pPr>
      <w:r>
        <w:rPr>
          <w:rFonts w:ascii="Times New Roman" w:cs="Times New Roman" w:eastAsia="Times New Roman" w:hAnsi="Times New Roman"/>
          <w:sz w:val="22"/>
          <w:szCs w:val="22"/>
        </w:rPr>
        <w:t xml:space="preserve">The most consequential biological gap identified in our benchmarking is the absence of stochastic simulation for low-copy-number molecular events. The importance of this gap is amplified by the very biology of JCVI-syn3A: a cell with only 493 genes, a volume of approximately 0.1 femtoliters, and mean mRNA copy numbers of 1-5 molecules per gene for many low-abundance transcripts. At these copy numbers, the deterministic ODE assumption that molecular populations can be treated as continuous concentrations becomes physically incorrect. Stochastic fluctuations dominate transcription and translation for a substantial fraction of the minimal cell's genes, and population-level variability in division timing, protein allocation, and metabolic state is driven primarily by these molecular noise processes [6].</w:t>
      </w:r>
    </w:p>
    <w:p>
      <w:pPr>
        <w:spacing w:before="0" w:after="120" w:line="360"/>
        <w:ind w:firstLine="720"/>
        <w:jc w:val="both"/>
      </w:pPr>
      <w:r>
        <w:rPr>
          <w:rFonts w:ascii="Times New Roman" w:cs="Times New Roman" w:eastAsia="Times New Roman" w:hAnsi="Times New Roman"/>
          <w:sz w:val="22"/>
          <w:szCs w:val="22"/>
        </w:rPr>
        <w:t xml:space="preserve">The practical consequence is that the current system cannot reproduce cell-to-cell variability or simulate the stochastic aspects of DNA replication initiation and FtsZ ring assembly that Thornburg et al. [6] identified as essential for accurate modeling of the syn3A cell cycle. An ODE-only model systematically underestimates the fraction of cells undergoing non-mean-field behavior — an important consideration for any application of the digital twin to predicting population-level outcomes such as antibiotic tolerance or stress response heterogeneity. Implementation of the Gillespie SSA for identified low-copy-number molecular species represents the highest biological priority for future system development.</w:t>
      </w:r>
    </w:p>
    <w:p>
      <w:pPr>
        <w:pStyle w:val="Heading2"/>
        <w:spacing w:before="280" w:after="120"/>
      </w:pPr>
      <w:r>
        <w:rPr>
          <w:rFonts w:ascii="Times New Roman" w:cs="Times New Roman" w:eastAsia="Times New Roman" w:hAnsi="Times New Roman"/>
          <w:b/>
          <w:bCs/>
          <w:color w:val="2E5F8A"/>
          <w:sz w:val="24"/>
          <w:szCs w:val="24"/>
        </w:rPr>
        <w:t xml:space="preserve">4.3 Genome-Level Context: The Bacformer Gap</w:t>
      </w:r>
    </w:p>
    <w:p>
      <w:pPr>
        <w:spacing w:before="0" w:after="120" w:line="360"/>
        <w:ind w:firstLine="720"/>
        <w:jc w:val="both"/>
      </w:pPr>
      <w:r>
        <w:rPr>
          <w:rFonts w:ascii="Times New Roman" w:cs="Times New Roman" w:eastAsia="Times New Roman" w:hAnsi="Times New Roman"/>
          <w:sz w:val="22"/>
          <w:szCs w:val="22"/>
        </w:rPr>
        <w:t xml:space="preserve">The 52% coverage against Bacformer's requirements reveals a deep architectural limitation that merits extended discussion. The current system generates each protein's embedding independently using ESM-2 — a powerful single-protein language model — and then aggregates these embeddings using attention-weighted pooling in the Cellular UR generator. This approach captures per-protein sequence information but does not capture the contextual relationships between proteins in the genome: that a protein is immediately downstream of a metabolic operon, that it shares co-evolutionary history with its chromosomal neighbors, or that its expression is co-regulated across bacterial species with similar genomic architectures.</w:t>
      </w:r>
    </w:p>
    <w:p>
      <w:pPr>
        <w:spacing w:before="0" w:after="120" w:line="360"/>
        <w:ind w:firstLine="720"/>
        <w:jc w:val="both"/>
      </w:pPr>
      <w:r>
        <w:rPr>
          <w:rFonts w:ascii="Times New Roman" w:cs="Times New Roman" w:eastAsia="Times New Roman" w:hAnsi="Times New Roman"/>
          <w:sz w:val="22"/>
          <w:szCs w:val="22"/>
        </w:rPr>
        <w:t xml:space="preserve">Bacformer [10] solves this by treating the entire genome as an ordered sequence of proteins and running a transformer over this sequence, so that each protein's representation is conditioned on all other proteins in the genome simultaneously. Trained on 1.3 million bacterial genomes, this model learns the statistical regularities of bacterial genome organization that are completely invisible to single-protein models. For JCVI-syn3A, where the minimal genome results in unusually tight functional coupling between genes and where operon polarity effects are pervasive, genome-level contextual embeddings could substantially improve the accuracy of essentiality prediction, PPI prediction, and functional annotation of the 149 genes of unknown function.</w:t>
      </w:r>
    </w:p>
    <w:p>
      <w:pPr>
        <w:spacing w:before="0" w:after="120" w:line="360"/>
        <w:ind w:firstLine="720"/>
        <w:jc w:val="both"/>
      </w:pPr>
      <w:r>
        <w:rPr>
          <w:rFonts w:ascii="Times New Roman" w:cs="Times New Roman" w:eastAsia="Times New Roman" w:hAnsi="Times New Roman"/>
          <w:sz w:val="22"/>
          <w:szCs w:val="22"/>
        </w:rPr>
        <w:t xml:space="preserve">The practical path to closing this gap is tractable: Bacformer is open-source and available on HuggingFace, uses ESM-2 as its backbone architecture, and operates on protein sequences of the same format already used in the current system. The integration would involve replacing the independent ESM-2 calls in molecular_ur_generator.py with a Bacformer forward pass over the full syn3A proteome ordered by chromosomal position, with modest modifications to the downstream Cellular UR aggregation logic.</w:t>
      </w:r>
    </w:p>
    <w:p>
      <w:pPr>
        <w:pStyle w:val="Heading2"/>
        <w:spacing w:before="280" w:after="120"/>
      </w:pPr>
      <w:r>
        <w:rPr>
          <w:rFonts w:ascii="Times New Roman" w:cs="Times New Roman" w:eastAsia="Times New Roman" w:hAnsi="Times New Roman"/>
          <w:b/>
          <w:bCs/>
          <w:color w:val="2E5F8A"/>
          <w:sz w:val="24"/>
          <w:szCs w:val="24"/>
        </w:rPr>
        <w:t xml:space="preserve">4.4 Toward a Closed-Loop Digital Twin</w:t>
      </w:r>
    </w:p>
    <w:p>
      <w:pPr>
        <w:spacing w:before="0" w:after="120" w:line="360"/>
        <w:ind w:firstLine="720"/>
        <w:jc w:val="both"/>
      </w:pPr>
      <w:r>
        <w:rPr>
          <w:rFonts w:ascii="Times New Roman" w:cs="Times New Roman" w:eastAsia="Times New Roman" w:hAnsi="Times New Roman"/>
          <w:sz w:val="22"/>
          <w:szCs w:val="22"/>
        </w:rPr>
        <w:t xml:space="preserve">Both Zhou et al. [12] (Stage 4: Autonomous Management) and Qian et al. [13] (Closed-Loop Active Learning) identify the same frontier capability: a digital twin that not only simulates and predicts but actively guides its own improvement by identifying knowledge gaps, designing targeted experiments, and incorporating new data. The current system scores near zero on these requirements, reflecting the fact that all biological data is pre-collected and fixed, and that the AI Virtual Instruments are trained once on a static perturbation dataset without online learning capability.</w:t>
      </w:r>
    </w:p>
    <w:p>
      <w:pPr>
        <w:spacing w:before="0" w:after="120" w:line="360"/>
        <w:ind w:firstLine="720"/>
        <w:jc w:val="both"/>
      </w:pPr>
      <w:r>
        <w:rPr>
          <w:rFonts w:ascii="Times New Roman" w:cs="Times New Roman" w:eastAsia="Times New Roman" w:hAnsi="Times New Roman"/>
          <w:sz w:val="22"/>
          <w:szCs w:val="22"/>
        </w:rPr>
        <w:t xml:space="preserve">The biological motivation for closed-loop learning is particularly strong in the context of JCVI-syn3A, where 149 genes (30% of the genome) have no known function. The digital twin is ideally positioned to prioritize these unknowns: the EssentialityPredictor's confidence scores for uncharacterized genes identify those most uncertain about their biological role, and the KnockoutSimulator can predict which single-gene deletions would most shift the CUR, suggesting targeted experiments with maximal information content. A simple first step toward closed-loop operation would be to implement an active learning module that ranks uncharacterized genes by predicted information gain under deletion and exports a prioritized experimental knockout list — a straightforward extension of existing capabilities that would provide immediate value to experimental collaborators.</w:t>
      </w:r>
    </w:p>
    <w:p>
      <w:pPr>
        <w:pStyle w:val="Heading2"/>
        <w:spacing w:before="280" w:after="120"/>
      </w:pPr>
      <w:r>
        <w:rPr>
          <w:rFonts w:ascii="Times New Roman" w:cs="Times New Roman" w:eastAsia="Times New Roman" w:hAnsi="Times New Roman"/>
          <w:b/>
          <w:bCs/>
          <w:color w:val="2E5F8A"/>
          <w:sz w:val="24"/>
          <w:szCs w:val="24"/>
        </w:rPr>
        <w:t xml:space="preserve">4.5 Applicability Filter: What Does Not Apply to Minimal Bacteria</w:t>
      </w:r>
    </w:p>
    <w:p>
      <w:pPr>
        <w:spacing w:before="0" w:after="120" w:line="360"/>
        <w:ind w:firstLine="720"/>
        <w:jc w:val="both"/>
      </w:pPr>
      <w:r>
        <w:rPr>
          <w:rFonts w:ascii="Times New Roman" w:cs="Times New Roman" w:eastAsia="Times New Roman" w:hAnsi="Times New Roman"/>
          <w:sz w:val="22"/>
          <w:szCs w:val="22"/>
        </w:rPr>
        <w:t xml:space="preserve">A key interpretive finding of our benchmarking is that a substantial fraction of the requirements in Papers 2, 5, and 6 — which were written with eukaryotic or mammalian cell applications in mind — are inapplicable to JCVI-syn3A for fundamental biological reasons. Requirements for nucleus, organelle, tissue-level, epigenetic, and immune system modeling do not apply to a prokaryote with no membrane-bound organelles, no chromatin, no differential methylation, and no multicellular organization. When we restrict the benchmark to bacterially applicable requirements, the coverage scores increase substantially: against Paper 2 (AIVC), for example, coverage rises from 80% to 92% when tissue-level and organelle requirements are excluded. This applicability filter is important both for fairly assessing the system's completeness and for prioritizing development — resources should not be spent implementing requirements that are biologically inapplicable to the target organism.</w:t>
      </w:r>
    </w:p>
    <w:p>
      <w:pPr>
        <w:pStyle w:val="Heading2"/>
        <w:spacing w:before="280" w:after="120"/>
      </w:pPr>
      <w:r>
        <w:rPr>
          <w:rFonts w:ascii="Times New Roman" w:cs="Times New Roman" w:eastAsia="Times New Roman" w:hAnsi="Times New Roman"/>
          <w:b/>
          <w:bCs/>
          <w:color w:val="2E5F8A"/>
          <w:sz w:val="24"/>
          <w:szCs w:val="24"/>
        </w:rPr>
        <w:t xml:space="preserve">4.6 Limitations</w:t>
      </w:r>
    </w:p>
    <w:p>
      <w:pPr>
        <w:spacing w:before="0" w:after="120" w:line="360"/>
        <w:ind w:firstLine="720"/>
        <w:jc w:val="both"/>
      </w:pPr>
      <w:r>
        <w:rPr>
          <w:rFonts w:ascii="Times New Roman" w:cs="Times New Roman" w:eastAsia="Times New Roman" w:hAnsi="Times New Roman"/>
          <w:sz w:val="22"/>
          <w:szCs w:val="22"/>
        </w:rPr>
        <w:t xml:space="preserve">Several limitations of the current system should be acknowledged. First, the FBA metabolic coupling uses a simplified uniform catalytic constant (kcat = 0.001 hr^-1) rather than gene-specific measured kcat values for each enzyme, which may introduce systematic biases in flux predictions for reactions with unusually high or low catalytic rates. Second, 88% of mRNA and protein half-lives and 97% of ribosome binding site strengths are machine learning estimates rather than experimental measurements, and the accuracy of these estimates for syn3A-specific sequence contexts has not been independently validated. Third, the perturbation training dataset used to train the AI Virtual Instruments is entirely in silico — generated by the ODE simulation engine — rather than experimental perturbation proteomics data, which risks training the VIs on simulation artifacts rather than biological ground truth. Fourth, the system currently lacks version control and continuous integration infrastructure, which limits reproducibility and collaborative development.</w:t>
      </w:r>
    </w:p>
    <w:p>
      <w:r>
        <w:br w:type="page"/>
      </w:r>
    </w:p>
    <w:p>
      <w:pPr>
        <w:pStyle w:val="Heading1"/>
        <w:spacing w:before="400" w:after="160"/>
      </w:pPr>
      <w:r>
        <w:rPr>
          <w:rFonts w:ascii="Times New Roman" w:cs="Times New Roman" w:eastAsia="Times New Roman" w:hAnsi="Times New Roman"/>
          <w:b/>
          <w:bCs/>
          <w:color w:val="1A3A5C"/>
          <w:sz w:val="28"/>
          <w:szCs w:val="28"/>
        </w:rPr>
        <w:t xml:space="preserve">5. Conclusion</w:t>
      </w:r>
    </w:p>
    <w:p>
      <w:pPr>
        <w:spacing w:before="0" w:after="120" w:line="360"/>
        <w:ind w:firstLine="720"/>
        <w:jc w:val="both"/>
      </w:pPr>
      <w:r>
        <w:rPr>
          <w:rFonts w:ascii="Times New Roman" w:cs="Times New Roman" w:eastAsia="Times New Roman" w:hAnsi="Times New Roman"/>
          <w:sz w:val="22"/>
          <w:szCs w:val="22"/>
        </w:rPr>
        <w:t xml:space="preserve">We have presented the JCVI Genome Analyzer, an integrated whole-cell digital twin platform for JCVI-syn3A that unifies mechanistic ODE simulation, constraint-based metabolic modeling, transformer-based Universal Representations, and calibrated AI Virtual Instruments into a single interactive computational system. Systematic benchmarking against six landmark reference papers reveals an overall implementation coverage of 65% across 136 requirements, with strong performance in gene expression simulation, multi-omics data integration, and AI embedding pipeline, and clear development priorities in stochastic simulation, DNA replication mechanics, genome-level contextual representations, and closed-loop active learning.</w:t>
      </w:r>
    </w:p>
    <w:p>
      <w:pPr>
        <w:spacing w:before="0" w:after="120" w:line="360"/>
        <w:ind w:firstLine="720"/>
        <w:jc w:val="both"/>
      </w:pPr>
      <w:r>
        <w:rPr>
          <w:rFonts w:ascii="Times New Roman" w:cs="Times New Roman" w:eastAsia="Times New Roman" w:hAnsi="Times New Roman"/>
          <w:sz w:val="22"/>
          <w:szCs w:val="22"/>
        </w:rPr>
        <w:t xml:space="preserve">The system advances the state of the art for minimal cell digital twins in three ways: the first integration of mechanistic whole-cell simulation with transformer-based Universal Representations for JCVI-syn3A; a systematic cross-framework benchmarking methodology that provides a reproducible approach to digital twin evaluation; and a prioritized development roadmap grounded in quantitative gap analysis against the best current methods in the field. The three highest-impact near-term development priorities — Gillespie SSA for stochastic simulation, Bacformer for genome-level contextual protein embeddings, and an ML viability surrogate for high-throughput genome minimization — are each technically feasible extensions of the current system that would substantially close the gap with the state of the art.</w:t>
      </w:r>
    </w:p>
    <w:p>
      <w:pPr>
        <w:spacing w:before="0" w:after="120" w:line="360"/>
        <w:ind w:firstLine="720"/>
        <w:jc w:val="both"/>
      </w:pPr>
      <w:r>
        <w:rPr>
          <w:rFonts w:ascii="Times New Roman" w:cs="Times New Roman" w:eastAsia="Times New Roman" w:hAnsi="Times New Roman"/>
          <w:sz w:val="22"/>
          <w:szCs w:val="22"/>
        </w:rPr>
        <w:t xml:space="preserve">As synthetic biology progresses toward more complex engineered organisms and as experimental characterization of JCVI-syn3A's 149 genes of unknown function continues, the digital twin framework described here provides an extensible computational substrate for integrating new data and testing new hypotheses in silico before committing experimental resources. The JCVI Genome Analyzer is offered as an open-source platform to the community developing digital twins for minimal and synthetic bacterial cells.</w:t>
      </w:r>
    </w:p>
    <w:p>
      <w:r>
        <w:br w:type="page"/>
      </w:r>
    </w:p>
    <w:p>
      <w:pPr>
        <w:pStyle w:val="Heading1"/>
        <w:spacing w:before="400" w:after="160"/>
      </w:pPr>
      <w:r>
        <w:rPr>
          <w:rFonts w:ascii="Times New Roman" w:cs="Times New Roman" w:eastAsia="Times New Roman" w:hAnsi="Times New Roman"/>
          <w:b/>
          <w:bCs/>
          <w:color w:val="1A3A5C"/>
          <w:sz w:val="28"/>
          <w:szCs w:val="28"/>
        </w:rPr>
        <w:t xml:space="preserve">6. Recommended Journals for Submission</w:t>
      </w:r>
    </w:p>
    <w:p>
      <w:pPr>
        <w:spacing w:before="0" w:after="120" w:line="360"/>
        <w:ind w:firstLine="720"/>
        <w:jc w:val="both"/>
      </w:pPr>
      <w:r>
        <w:rPr>
          <w:rFonts w:ascii="Times New Roman" w:cs="Times New Roman" w:eastAsia="Times New Roman" w:hAnsi="Times New Roman"/>
          <w:sz w:val="22"/>
          <w:szCs w:val="22"/>
        </w:rPr>
        <w:t xml:space="preserve">The following journals are recommended based on the interdisciplinary nature of the work, spanning systems biology, synthetic biology, machine learning, and computational methods: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Journal</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Publisher</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Impact Factor (approx.)</w:t>
            </w:r>
          </w:p>
        </w:tc>
        <w:tc>
          <w:tcPr>
            <w:tcW w:type="dxa" w:w="4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Rationale</w:t>
            </w:r>
          </w:p>
        </w:tc>
      </w:tr>
      <w:tr>
        <w:tc>
          <w:tcPr>
            <w:tcW w:type="dxa" w:w="16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Cell Systems</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Cell Press / Elsevier</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~11</w:t>
            </w:r>
          </w:p>
        </w:tc>
        <w:tc>
          <w:tcPr>
            <w:tcW w:type="dxa" w:w="4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The most direct fit: Cell Systems publishes quantitative and systems-level studies of biological systems with strong computational and modeling components. Paper 4 (Gherman et al.) was published here, making it the natural home for an AI-augmented whole-cell model of the same organism class. The journal has a strong precedent of publishing whole-cell models and genome-scale computational analyses.</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npj Systems Biology and Applications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Nature Portfolio</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~7</w:t>
            </w:r>
          </w:p>
        </w:tc>
        <w:tc>
          <w:tcPr>
            <w:tcW w:type="dxa" w:w="4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Open-access journal dedicated to systems biology at the interface of computation and experiment. Published Paper 5 (Immune Digital Twins), demonstrating receptiveness to AI-augmented biological digital twin papers. Appropriate scope for the Universal Representation and Virtual Instrument components.</w:t>
            </w:r>
          </w:p>
        </w:tc>
      </w:tr>
      <w:tr>
        <w:tc>
          <w:tcPr>
            <w:tcW w:type="dxa" w:w="16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PLOS Computational Biology</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PLOS</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~4</w:t>
            </w:r>
          </w:p>
        </w:tc>
        <w:tc>
          <w:tcPr>
            <w:tcW w:type="dxa" w:w="4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High-visibility open-access journal for computational biology with broad readership. Well-suited for the methods-heavy nature of the paper, including the detailed ODE engine, FBA coupling, and benchmarking framework. Less competitive than Cell Systems but offers open-access and faster review.</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Bioinformatics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Oxford University Press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w:t>
            </w:r>
          </w:p>
        </w:tc>
        <w:tc>
          <w:tcPr>
            <w:tcW w:type="dxa" w:w="4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Premier journal for computational methods in biology. Appropriate for the software and methods contribution aspects of the paper, particularly the Universal Representation pipeline, the AI Virtual Instruments, and the benchmarking framework. Publishes both application notes and full research articles.</w:t>
            </w:r>
          </w:p>
        </w:tc>
      </w:tr>
      <w:tr>
        <w:tc>
          <w:tcPr>
            <w:tcW w:type="dxa" w:w="16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Nucleic Acids Research</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Oxford University Press</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~14</w:t>
            </w:r>
          </w:p>
        </w:tc>
        <w:tc>
          <w:tcPr>
            <w:tcW w:type="dxa" w:w="4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Appropriate if submission is framed as a database/software resource article (annual Web Server or Database Issue). The JCVI Genome Analyzer as a resource paper — presenting the curated data, pre-trained models, and interactive platform for the community — fits NAR's resource publication category well.</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Synthetic Biology (Oxford)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Oxford University Press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w:t>
            </w:r>
          </w:p>
        </w:tc>
        <w:tc>
          <w:tcPr>
            <w:tcW w:type="dxa" w:w="4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Specialist journal directly covering the application domain: design and analysis of synthetic biological systems. JCVI-syn3A is the flagship organism of synthetic biology; a digital twin platform for this organism is of central interest to this readership. Growing journal with an engaged synthetic biology community.</w:t>
            </w:r>
          </w:p>
        </w:tc>
      </w:tr>
      <w:tr>
        <w:tc>
          <w:tcPr>
            <w:tcW w:type="dxa" w:w="16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Cell (if scope is expanded)</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Cell Press / Elsevier</w:t>
            </w:r>
          </w:p>
        </w:tc>
        <w:tc>
          <w:tcPr>
            <w:tcW w:type="dxa" w:w="140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~66</w:t>
            </w:r>
          </w:p>
        </w:tc>
        <w:tc>
          <w:tcPr>
            <w:tcW w:type="dxa" w:w="4960"/>
            <w:tcBorders>
              <w:top w:val="single" w:color="BBBBBB" w:sz="1"/>
              <w:left w:val="single" w:color="BBBBBB" w:sz="1"/>
              <w:bottom w:val="single" w:color="BBBBBB" w:sz="1"/>
              <w:right w:val="single" w:color="BBBBBB" w:sz="1"/>
            </w:tcBorders>
            <w:shd w:fill="F4F8FC"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Appropriate only if the paper is extended with experimental validation — e.g., if experimental perturbation proteomics data is generated to validate AI Virtual Instrument predictions, or if the genome minimization surrogate is implemented and used to guide actual genome reduction. Papers 1 (Thornburg) and 2 (Bunne) were both published in Cell. Without experimental validation, the computational scope alone may be insufficient for Cell's bar.</w:t>
            </w:r>
          </w:p>
        </w:tc>
      </w:tr>
    </w:tbl>
    <w:p>
      <w:pPr>
        <w:spacing w:before="80" w:after="80"/>
      </w:pPr>
      <w:r>
        <w:t xml:space="preserve"/>
      </w:r>
    </w:p>
    <w:p>
      <w:pPr>
        <w:spacing w:before="0" w:after="120" w:line="360"/>
        <w:ind w:firstLine="720"/>
        <w:jc w:val="both"/>
      </w:pPr>
      <w:r>
        <w:rPr>
          <w:rFonts w:ascii="Times New Roman" w:cs="Times New Roman" w:eastAsia="Times New Roman" w:hAnsi="Times New Roman"/>
          <w:sz w:val="22"/>
          <w:szCs w:val="22"/>
        </w:rPr>
        <w:t xml:space="preserve">Primary recommendation: Cell Systems. The journal's explicit focus on quantitative systems biology, its precedent of publishing whole-cell models and genome-minimization studies for bacteria, and its prestige within the systems biology community make it the optimal first-submission target. If rejected at Cell Systems, npj Systems Biology and Applications offers a strong second choice with open-access benefits and a demonstrated interest in AI-augmented biological digital twin papers.</w:t>
      </w:r>
    </w:p>
    <w:p>
      <w:r>
        <w:br w:type="page"/>
      </w:r>
    </w:p>
    <w:p>
      <w:pPr>
        <w:pStyle w:val="Heading1"/>
        <w:spacing w:before="400" w:after="160"/>
      </w:pPr>
      <w:r>
        <w:rPr>
          <w:rFonts w:ascii="Times New Roman" w:cs="Times New Roman" w:eastAsia="Times New Roman" w:hAnsi="Times New Roman"/>
          <w:b/>
          <w:bCs/>
          <w:color w:val="1A3A5C"/>
          <w:sz w:val="28"/>
          <w:szCs w:val="28"/>
        </w:rPr>
        <w:t xml:space="preserve">References</w:t>
      </w:r>
    </w:p>
    <w:p>
      <w:pPr>
        <w:spacing w:before="0" w:after="80" w:line="320"/>
        <w:ind w:left="500" w:hanging="50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Grieves M, Vickers J. Digital twin: Mitigating unpredictable, undesirable emergent behavior in complex systems. In: Kahlen F-J, Flumerfelt S, Alves A, editors. Transdisciplinary Perspectives on Complex Systems. Springer; 2017. p. 85-113.</w:t>
      </w:r>
    </w:p>
    <w:p>
      <w:pPr>
        <w:spacing w:before="0" w:after="80" w:line="320"/>
        <w:ind w:left="500" w:hanging="50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Grieves MW. Product lifecycle management: The new paradigm for enterprises. Int J Prod Dev. 2005;2(1-2):71-84.</w:t>
      </w:r>
    </w:p>
    <w:p>
      <w:pPr>
        <w:spacing w:before="0" w:after="80" w:line="320"/>
        <w:ind w:left="500" w:hanging="50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Laubenbacher R, Mehrad B, Shmulevich I, Trayanova N. Digital twins in medicine. Nat Comput Sci. 2024;4:184-191.</w:t>
      </w:r>
    </w:p>
    <w:p>
      <w:pPr>
        <w:spacing w:before="0" w:after="80" w:line="320"/>
        <w:ind w:left="500" w:hanging="50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Hutchison CA, Chuang RY, Noskov VN, et al. Design and synthesis of a minimal bacterial genome. Science. 2016;351(6280):aad6253.</w:t>
      </w:r>
    </w:p>
    <w:p>
      <w:pPr>
        <w:spacing w:before="0" w:after="80" w:line="320"/>
        <w:ind w:left="500" w:hanging="50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Karr JR, Sanghvi JC, Macklin DN, et al. A whole-cell computational model predicts phenotype from genotype. Cell. 2012;150(2):389-401.</w:t>
      </w:r>
    </w:p>
    <w:p>
      <w:pPr>
        <w:spacing w:before="0" w:after="80" w:line="320"/>
        <w:ind w:left="500" w:hanging="50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Thornburg ZR, Bianchi DM, Brier TA, et al. Fundamental behaviors emerge from simulations of a living minimal cell. Cell. 2022;185(2):345-360.e28.</w:t>
      </w:r>
    </w:p>
    <w:p>
      <w:pPr>
        <w:spacing w:before="0" w:after="80" w:line="320"/>
        <w:ind w:left="500" w:hanging="50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Bunne C, Roohani Y, Rosen Y, et al. How to build the virtual cell with artificial intelligence: Priorities and opportunities. Cell. 2024;189(24):3545-3563.</w:t>
      </w:r>
    </w:p>
    <w:p>
      <w:pPr>
        <w:spacing w:before="0" w:after="80" w:line="320"/>
        <w:ind w:left="500" w:hanging="50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Lin Z, Akin H, Rao R, et al. Evolutionary-scale prediction of atomic-level protein structure with a language model. Science. 2023;379(6637):1123-1130.</w:t>
      </w:r>
    </w:p>
    <w:p>
      <w:pPr>
        <w:spacing w:before="0" w:after="80" w:line="320"/>
        <w:ind w:left="500" w:hanging="50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Dalla-Torre H, Gonzalez L, Mendoza-Revilla J, et al. The nucleotide transformer: Building and evaluating robust foundation models for human genomics. bioRxiv. 2023; doi:10.1101/2023.01.11.523679.</w:t>
      </w:r>
    </w:p>
    <w:p>
      <w:pPr>
        <w:spacing w:before="0" w:after="80" w:line="320"/>
        <w:ind w:left="500" w:hanging="50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Wiatrak M, Tagasovska N, Gretton A, Doucet A, Kilbertus N. Bacformer: Contextualised protein language model for bacterial genomics. bioRxiv. 2025; doi:10.1101/2025.01.xxx.</w:t>
      </w:r>
    </w:p>
    <w:p>
      <w:pPr>
        <w:spacing w:before="0" w:after="80" w:line="320"/>
        <w:ind w:left="500" w:hanging="50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Gherman IM, Walsh I, Duggan G, et al. Accelerated design of reduced genomes using a whole-cell model and machine learning. Cell Systems. 2025;16(1):xxx-xxx.</w:t>
      </w:r>
    </w:p>
    <w:p>
      <w:pPr>
        <w:spacing w:before="0" w:after="80" w:line="320"/>
        <w:ind w:left="500" w:hanging="500"/>
        <w:jc w:val="both"/>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Zhou P, Xie C, Wang J, et al. Digital twin AI: Opportunities and challenges from large language models to world models. arXiv. 2026; arXiv:2601.xxxxx.</w:t>
      </w:r>
    </w:p>
    <w:p>
      <w:pPr>
        <w:spacing w:before="0" w:after="80" w:line="320"/>
        <w:ind w:left="500" w:hanging="500"/>
        <w:jc w:val="both"/>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Qian Y, Dong X, Guo X. Grow AI virtual cells: Three data pillars and closed-loop learning. Cell Research. 2025;35(x):xxx-xxx.</w:t>
      </w:r>
    </w:p>
    <w:p>
      <w:pPr>
        <w:spacing w:before="0" w:after="80" w:line="320"/>
        <w:ind w:left="500" w:hanging="500"/>
        <w:jc w:val="both"/>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Schomburg I, Chang A, Placzek S, et al. BRENDA in 2013: Integrated reactions, kinetic data, enzyme function data, improved disease classification: New options and contents in BRENDA. Nucleic Acids Res. 2013;41(D1):D764-D772.</w:t>
      </w:r>
    </w:p>
    <w:p>
      <w:pPr>
        <w:spacing w:before="0" w:after="80" w:line="320"/>
        <w:ind w:left="500" w:hanging="500"/>
        <w:jc w:val="both"/>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Breuer M, Earnest TM, Bhatt C, et al. Essential metabolism for a minimal cell. eLife. 2019;8:e36842.</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center"/>
    </w:pPr>
    <w:r>
      <w:rPr>
        <w:rFonts w:ascii="Times New Roman" w:cs="Times New Roman" w:eastAsia="Times New Roman" w:hAnsi="Times New Roman"/>
        <w:color w:val="888888"/>
        <w:sz w:val="18"/>
        <w:szCs w:val="18"/>
      </w:rPr>
      <w:t xml:space="preserve">Confidential Draft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9026"/>
      </w:tabs>
    </w:pPr>
    <w:r>
      <w:rPr>
        <w:rFonts w:ascii="Times New Roman" w:cs="Times New Roman" w:eastAsia="Times New Roman" w:hAnsi="Times New Roman"/>
        <w:i/>
        <w:iCs/>
        <w:color w:val="555555"/>
        <w:sz w:val="18"/>
        <w:szCs w:val="18"/>
      </w:rPr>
      <w:t xml:space="preserve">JCVI-syn3A Digital Twin — Manuscript Draft</w:t>
    </w:r>
    <w:r>
      <w:rPr>
        <w:rFonts w:ascii="Times New Roman" w:cs="Times New Roman" w:eastAsia="Times New Roman" w:hAnsi="Times New Roman"/>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Times New Roman" w:cs="Times New Roman" w:eastAsia="Times New Roman" w:hAnsi="Times New Roman"/>
      <w:b/>
      <w:bCs/>
      <w:color w:val="1A3A5C"/>
      <w:sz w:val="28"/>
      <w:szCs w:val="28"/>
    </w:rPr>
  </w:style>
  <w:style w:type="paragraph" w:styleId="Heading2">
    <w:name w:val="Heading 2"/>
    <w:basedOn w:val="Normal"/>
    <w:next w:val="Normal"/>
    <w:qFormat/>
    <w:pPr>
      <w:spacing w:before="280" w:after="120"/>
      <w:outlineLvl w:val="1"/>
    </w:pPr>
    <w:rPr>
      <w:rFonts w:ascii="Times New Roman" w:cs="Times New Roman" w:eastAsia="Times New Roman" w:hAnsi="Times New Roman"/>
      <w:b/>
      <w:bCs/>
      <w:color w:val="2E5F8A"/>
      <w:sz w:val="24"/>
      <w:szCs w:val="24"/>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2026-03-03T07:08:07.759Z</dcterms:created>
  <dcterms:modified xsi:type="dcterms:W3CDTF">2026-03-03T07:08:07.760Z</dcterms:modified>
</cp:coreProperties>
</file>

<file path=docProps/custom.xml><?xml version="1.0" encoding="utf-8"?>
<Properties xmlns="http://schemas.openxmlformats.org/officeDocument/2006/custom-properties" xmlns:vt="http://schemas.openxmlformats.org/officeDocument/2006/docPropsVTypes"/>
</file>