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4C2991"/>
          <w:sz w:val="40"/>
        </w:rPr>
        <w:t>Board of Directors — Q3 2026 Meeting Minutes</w:t>
      </w:r>
    </w:p>
    <w:p>
      <w:r>
        <w:rPr>
          <w:i/>
          <w:color w:val="506070"/>
          <w:sz w:val="22"/>
        </w:rPr>
        <w:t>Confidential — Board Members &amp; Executives Only · 15 September 2026</w:t>
      </w:r>
    </w:p>
    <w:p>
      <w:pPr>
        <w:pBdr>
          <w:bottom w:val="single" w:sz="6" w:space="1" w:color="4C2991"/>
        </w:pBdr>
      </w:pPr>
    </w:p>
    <w:p>
      <w:pPr>
        <w:spacing w:line="312" w:lineRule="auto" w:after="120"/>
      </w:pPr>
      <w:r>
        <w:rPr>
          <w:sz w:val="22"/>
        </w:rPr>
        <w:t>Date: 15 September 2026</w:t>
      </w:r>
    </w:p>
    <w:p>
      <w:pPr>
        <w:spacing w:line="312" w:lineRule="auto" w:after="120"/>
      </w:pPr>
      <w:r>
        <w:rPr>
          <w:sz w:val="22"/>
        </w:rPr>
        <w:t>Location: Seekra HQ, DIFC, Gate Village Building 4, Boardroom 12B</w:t>
      </w:r>
    </w:p>
    <w:p>
      <w:pPr>
        <w:spacing w:line="312" w:lineRule="auto" w:after="120"/>
      </w:pPr>
      <w:r>
        <w:rPr>
          <w:sz w:val="22"/>
        </w:rPr>
        <w:t>Attendees: Khalid Alsoodi (Group CEO, Chair), Fatima Al Mansouri (Group CFO), Omar Al Hashimi (Group Legal), Sara Al Kindy (CEO, Seekra Films), Mohammed Al Marri (CEO, Seekra Creative), Reem Al Falasi (CEO, Seekra Studios), Tariq Al Qassimi (CEO, Seekra Broadcast)</w:t>
      </w:r>
    </w:p>
    <w:p>
      <w:pPr>
        <w:spacing w:line="312" w:lineRule="auto" w:after="120"/>
      </w:pPr>
      <w:r>
        <w:rPr>
          <w:sz w:val="22"/>
        </w:rPr>
        <w:t>Secretary: Aisha Al Blooshi, Group Corporate Secretary</w:t>
      </w:r>
    </w:p>
    <w:p>
      <w:pPr>
        <w:spacing w:before="200" w:after="80"/>
      </w:pPr>
      <w:r>
        <w:rPr>
          <w:b/>
          <w:color w:val="4C2991"/>
          <w:sz w:val="24"/>
        </w:rPr>
        <w:t>1. Call to Order</w:t>
      </w:r>
    </w:p>
    <w:p>
      <w:pPr>
        <w:spacing w:line="312" w:lineRule="auto" w:after="120"/>
      </w:pPr>
      <w:r>
        <w:rPr>
          <w:sz w:val="22"/>
        </w:rPr>
        <w:t>The meeting was called to order at 10:03 AM by Chair Khalid Alsoodi. A quorum was confirmed with all seven directors present.</w:t>
      </w:r>
    </w:p>
    <w:p>
      <w:pPr>
        <w:spacing w:before="200" w:after="80"/>
      </w:pPr>
      <w:r>
        <w:rPr>
          <w:b/>
          <w:color w:val="4C2991"/>
          <w:sz w:val="24"/>
        </w:rPr>
        <w:t>2. Approval of Previous Minutes</w:t>
      </w:r>
    </w:p>
    <w:p>
      <w:pPr>
        <w:spacing w:line="312" w:lineRule="auto" w:after="120"/>
      </w:pPr>
      <w:r>
        <w:rPr>
          <w:sz w:val="22"/>
        </w:rPr>
        <w:t>The minutes of the Q2 2026 board meeting (14 June 2026) were reviewed. Omar Al Hashimi motioned to approve; Mohammed Al Marri seconded. Motion carried unanimously.</w:t>
      </w:r>
    </w:p>
    <w:p>
      <w:pPr>
        <w:spacing w:before="200" w:after="80"/>
      </w:pPr>
      <w:r>
        <w:rPr>
          <w:b/>
          <w:color w:val="4C2991"/>
          <w:sz w:val="24"/>
        </w:rPr>
        <w:t>3. CFO Financial Review</w:t>
      </w:r>
    </w:p>
    <w:p>
      <w:pPr>
        <w:spacing w:line="312" w:lineRule="auto" w:after="120"/>
      </w:pPr>
      <w:r>
        <w:rPr>
          <w:sz w:val="22"/>
        </w:rPr>
        <w:t>Fatima Al Mansouri presented the Q3 financial statements. Group revenue reached AED 247.8 million for the quarter, representing 18% year-over-year growth. The films segment led growth with AED 112.4 million, driven primarily by the Project Golden Falcon pre-sales to Netflix MENA and StarzPlay.</w:t>
      </w:r>
    </w:p>
    <w:p>
      <w:pPr>
        <w:spacing w:line="312" w:lineRule="auto" w:after="120"/>
      </w:pPr>
      <w:r>
        <w:rPr>
          <w:sz w:val="22"/>
        </w:rPr>
        <w:t>EBITDA margin improved to 22.4% from 19.1% in Q2, reflecting strong cost discipline across all four subsidiaries. Free cash flow was AED 38.6 million, of which AED 25 million has been allocated to the Project Golden Falcon completion reserve.</w:t>
      </w:r>
    </w:p>
    <w:p>
      <w:pPr>
        <w:spacing w:line="312" w:lineRule="auto" w:after="120"/>
      </w:pPr>
      <w:r>
        <w:rPr>
          <w:sz w:val="22"/>
        </w:rPr>
        <w:t>The board approved the Q3 financial statements as presented and authorized their filing with the DIFC Registrar of Companies.</w:t>
      </w:r>
    </w:p>
    <w:p>
      <w:pPr>
        <w:spacing w:before="200" w:after="80"/>
      </w:pPr>
      <w:r>
        <w:rPr>
          <w:b/>
          <w:color w:val="4C2991"/>
          <w:sz w:val="24"/>
        </w:rPr>
        <w:t>4. Project Golden Falcon Status Update</w:t>
      </w:r>
    </w:p>
    <w:p>
      <w:pPr>
        <w:spacing w:line="312" w:lineRule="auto" w:after="120"/>
      </w:pPr>
      <w:r>
        <w:rPr>
          <w:sz w:val="22"/>
        </w:rPr>
        <w:t>Sara Al Kindy reported that principal photography on Project Golden Falcon is 78% complete, with the final shoot block scheduled for 10-24 October 2026 at the Jebel Jais location. Total production budget stands at AED 48.2 million, which is 4.2% over the original budget due to extended stunt rehearsal and additional VFX work for Scene 12.</w:t>
      </w:r>
    </w:p>
    <w:p>
      <w:pPr>
        <w:spacing w:line="312" w:lineRule="auto" w:after="120"/>
      </w:pPr>
      <w:r>
        <w:rPr>
          <w:sz w:val="22"/>
        </w:rPr>
        <w:t>The board approved a contingency drawdown of AED 2.0 million from the completion reserve to cover the additional VFX scope, subject to Reem Al Falasi's confirmation of delivery timeline.</w:t>
      </w:r>
    </w:p>
    <w:p>
      <w:pPr>
        <w:spacing w:before="200" w:after="80"/>
      </w:pPr>
      <w:r>
        <w:rPr>
          <w:b/>
          <w:color w:val="4C2991"/>
          <w:sz w:val="24"/>
        </w:rPr>
        <w:t>5. Legal &amp; Compliance Report</w:t>
      </w:r>
    </w:p>
    <w:p>
      <w:pPr>
        <w:spacing w:line="312" w:lineRule="auto" w:after="120"/>
      </w:pPr>
      <w:r>
        <w:rPr>
          <w:sz w:val="22"/>
        </w:rPr>
        <w:t>Omar Al Hashimi reported that the Master Services Agreement with Mira Studios has been executed and is now in effect. The Customer Data Protection Policy has been updated to align with the UAE Personal Data Protection Law (PDPL) issued in September 2021, with full employee training scheduled for October 2026.</w:t>
      </w:r>
    </w:p>
    <w:p>
      <w:pPr>
        <w:spacing w:before="200" w:after="80"/>
      </w:pPr>
      <w:r>
        <w:rPr>
          <w:b/>
          <w:color w:val="4C2991"/>
          <w:sz w:val="24"/>
        </w:rPr>
        <w:t>6. Strategic Acquisitions</w:t>
      </w:r>
    </w:p>
    <w:p>
      <w:pPr>
        <w:spacing w:line="312" w:lineRule="auto" w:after="120"/>
      </w:pPr>
      <w:r>
        <w:rPr>
          <w:sz w:val="22"/>
        </w:rPr>
        <w:t>Khalid Alsoodi presented a confidential memorandum regarding the proposed acquisition of a 51% stake in Arabian Post House, a regional VFX studio. After discussion, the board authorized management to proceed with due diligence and a definitive agreement, with a target close date of 15 December 2026.</w:t>
      </w:r>
    </w:p>
    <w:p>
      <w:pPr>
        <w:spacing w:before="200" w:after="80"/>
      </w:pPr>
      <w:r>
        <w:rPr>
          <w:b/>
          <w:color w:val="4C2991"/>
          <w:sz w:val="24"/>
        </w:rPr>
        <w:t>7. Next Meeting</w:t>
      </w:r>
    </w:p>
    <w:p>
      <w:pPr>
        <w:spacing w:line="312" w:lineRule="auto" w:after="120"/>
      </w:pPr>
      <w:r>
        <w:rPr>
          <w:sz w:val="22"/>
        </w:rPr>
        <w:t>The next board meeting is scheduled for 14 December 2026 at 10:00 AM, location TBC.</w:t>
      </w:r>
    </w:p>
    <w:p>
      <w:pPr>
        <w:spacing w:before="200" w:after="80"/>
      </w:pPr>
      <w:r>
        <w:rPr>
          <w:b/>
          <w:color w:val="4C2991"/>
          <w:sz w:val="24"/>
        </w:rPr>
        <w:t>8. Adjournment</w:t>
      </w:r>
    </w:p>
    <w:p>
      <w:pPr>
        <w:spacing w:line="312" w:lineRule="auto" w:after="120"/>
      </w:pPr>
      <w:r>
        <w:rPr>
          <w:sz w:val="22"/>
        </w:rPr>
        <w:t>The meeting was adjourned at 1:47 PM. Minutes prepared by Aisha Al Blooshi, reviewed and approved by Chair Khalid Alsoodi on 18 September 2026.</w:t>
      </w:r>
    </w:p>
    <w:sectPr w:rsidR="00FC693F" w:rsidRPr="0006063C" w:rsidSect="00034616">
      <w:pgSz w:w="12240" w:h="15840"/>
      <w:pgMar w:top="141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