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4C2991"/>
          <w:sz w:val="40"/>
        </w:rPr>
        <w:t>Customer Data Protection Policy</w:t>
      </w:r>
    </w:p>
    <w:p>
      <w:r>
        <w:rPr>
          <w:i/>
          <w:color w:val="506070"/>
          <w:sz w:val="22"/>
        </w:rPr>
        <w:t>Confidential — All Staff · Aligned with UAE PDPL &amp; GDPR</w:t>
      </w:r>
    </w:p>
    <w:p>
      <w:pPr>
        <w:pBdr>
          <w:bottom w:val="single" w:sz="6" w:space="1" w:color="4C2991"/>
        </w:pBdr>
      </w:pPr>
    </w:p>
    <w:p>
      <w:pPr>
        <w:spacing w:line="312" w:lineRule="auto" w:after="120"/>
      </w:pPr>
      <w:r>
        <w:rPr>
          <w:sz w:val="22"/>
        </w:rPr>
        <w:t>Version 3.0 · Effective 1 October 2026 · Owner: Group Legal &amp; Compliance</w:t>
      </w:r>
    </w:p>
    <w:p>
      <w:pPr>
        <w:spacing w:before="280" w:after="120"/>
      </w:pPr>
      <w:r>
        <w:rPr>
          <w:b/>
          <w:color w:val="1A2B40"/>
          <w:sz w:val="28"/>
        </w:rPr>
        <w:t>1. Purpose &amp; Scope</w:t>
      </w:r>
    </w:p>
    <w:p>
      <w:pPr>
        <w:spacing w:line="312" w:lineRule="auto" w:after="120"/>
      </w:pPr>
      <w:r>
        <w:rPr>
          <w:sz w:val="22"/>
        </w:rPr>
        <w:t>This policy establishes the requirements for the collection, processing, storage, and sharing of personal data within Seekra Media Holdings and its four subsidiaries (Seekra Films, Seekra Creative, Seekra Studios, and Seekra Broadcast). It is aligned with the UAE Federal Decree-Law No. 45 of 2021 regarding the Protection of Personal Data (PDPL) and the General Data Protection Regulation (GDPR) where applicable to EU data subjects.</w:t>
      </w:r>
    </w:p>
    <w:p>
      <w:pPr>
        <w:spacing w:before="280" w:after="120"/>
      </w:pPr>
      <w:r>
        <w:rPr>
          <w:b/>
          <w:color w:val="1A2B40"/>
          <w:sz w:val="28"/>
        </w:rPr>
        <w:t>2. Definitions</w:t>
      </w:r>
    </w:p>
    <w:p>
      <w:pPr>
        <w:spacing w:line="312" w:lineRule="auto" w:after="120"/>
      </w:pPr>
      <w:r>
        <w:rPr>
          <w:sz w:val="22"/>
        </w:rPr>
        <w:t>Personal Data: Any information relating to an identified or identifiable natural person, including but not limited to name, Emirates ID, passport number, contact details, biometric data, and online identifiers.</w:t>
      </w:r>
    </w:p>
    <w:p>
      <w:pPr>
        <w:spacing w:line="312" w:lineRule="auto" w:after="120"/>
      </w:pPr>
      <w:r>
        <w:rPr>
          <w:sz w:val="22"/>
        </w:rPr>
        <w:t>Processing: Any operation performed on personal data, including collection, recording, storage, use, disclosure, and deletion.</w:t>
      </w:r>
    </w:p>
    <w:p>
      <w:pPr>
        <w:spacing w:line="312" w:lineRule="auto" w:after="120"/>
      </w:pPr>
      <w:r>
        <w:rPr>
          <w:sz w:val="22"/>
        </w:rPr>
        <w:t>Data Subject: The natural person to whom the personal data relates.</w:t>
      </w:r>
    </w:p>
    <w:p>
      <w:pPr>
        <w:spacing w:before="280" w:after="120"/>
      </w:pPr>
      <w:r>
        <w:rPr>
          <w:b/>
          <w:color w:val="1A2B40"/>
          <w:sz w:val="28"/>
        </w:rPr>
        <w:t>3. Lawful Basis for Processing</w:t>
      </w:r>
    </w:p>
    <w:p>
      <w:pPr>
        <w:spacing w:line="312" w:lineRule="auto" w:after="120"/>
      </w:pPr>
      <w:r>
        <w:rPr>
          <w:sz w:val="22"/>
        </w:rPr>
        <w:t>Seekra processes personal data only where there is a lawful basis, including: (a) the data subject has given consent; (b) processing is necessary for performance of a contract; (c) processing is required by law; or (d) processing is in the legitimate interests of Seekra and does not override the rights of the data subject.</w:t>
      </w:r>
    </w:p>
    <w:p>
      <w:pPr>
        <w:spacing w:before="280" w:after="120"/>
      </w:pPr>
      <w:r>
        <w:rPr>
          <w:b/>
          <w:color w:val="1A2B40"/>
          <w:sz w:val="28"/>
        </w:rPr>
        <w:t>4. Data Minimization &amp; Retention</w:t>
      </w:r>
    </w:p>
    <w:p>
      <w:pPr>
        <w:spacing w:line="312" w:lineRule="auto" w:after="120"/>
      </w:pPr>
      <w:r>
        <w:rPr>
          <w:sz w:val="22"/>
        </w:rPr>
        <w:t>Only the minimum personal data necessary for the stated purpose shall be collected. Personal data shall not be retained longer than necessary. Default retention periods: employee records — 7 years post-employment; customer contact data — 3 years post-relationship; financial transaction records — 10 years (per UAE Commercial Companies Law).</w:t>
      </w:r>
    </w:p>
    <w:p>
      <w:pPr>
        <w:spacing w:before="280" w:after="120"/>
      </w:pPr>
      <w:r>
        <w:rPr>
          <w:b/>
          <w:color w:val="1A2B40"/>
          <w:sz w:val="28"/>
        </w:rPr>
        <w:t>5. Data Subject Rights</w:t>
      </w:r>
    </w:p>
    <w:p>
      <w:pPr>
        <w:spacing w:line="312" w:lineRule="auto" w:after="120"/>
      </w:pPr>
      <w:r>
        <w:rPr>
          <w:sz w:val="22"/>
        </w:rPr>
        <w:t>Data subjects have the right to: (a) be informed of processing; (b) access their personal data; (c) rectify inaccurate data; (d) erase their data (subject to legal retention); (e) restrict processing; (f) data portability; and (g) object to processing. Requests must be submitted to dpo@seekra-media.ae and will be actioned within 30 days.</w:t>
      </w:r>
    </w:p>
    <w:p>
      <w:pPr>
        <w:spacing w:before="280" w:after="120"/>
      </w:pPr>
      <w:r>
        <w:rPr>
          <w:b/>
          <w:color w:val="1A2B40"/>
          <w:sz w:val="28"/>
        </w:rPr>
        <w:t>6. Security Measures</w:t>
      </w:r>
    </w:p>
    <w:p>
      <w:pPr>
        <w:spacing w:line="312" w:lineRule="auto" w:after="120"/>
      </w:pPr>
      <w:r>
        <w:rPr>
          <w:sz w:val="22"/>
        </w:rPr>
        <w:t>Seekra implements technical and organizational measures including: AES-256 encryption at rest; TLS 1.3 in transit; role-based access control with least-privilege principle; multi-factor authentication for all privileged accounts; quarterly security audits; annual penetration testing; and immediate revocation of access upon employee departure.</w:t>
      </w:r>
    </w:p>
    <w:p>
      <w:pPr>
        <w:spacing w:line="312" w:lineRule="auto" w:after="120"/>
      </w:pPr>
      <w:r>
        <w:rPr>
          <w:sz w:val="22"/>
        </w:rPr>
        <w:t>Personal data is processed only within the UAE unless explicit consent for cross-border transfer is obtained, in compliance with PDPL Article 22.</w:t>
      </w:r>
    </w:p>
    <w:p>
      <w:pPr>
        <w:spacing w:before="280" w:after="120"/>
      </w:pPr>
      <w:r>
        <w:rPr>
          <w:b/>
          <w:color w:val="1A2B40"/>
          <w:sz w:val="28"/>
        </w:rPr>
        <w:t>7. Breach Notification</w:t>
      </w:r>
    </w:p>
    <w:p>
      <w:pPr>
        <w:spacing w:line="312" w:lineRule="auto" w:after="120"/>
      </w:pPr>
      <w:r>
        <w:rPr>
          <w:sz w:val="22"/>
        </w:rPr>
        <w:t>Any suspected or confirmed data breach must be reported to the Data Protection Officer (dpo@seekra-media.ae) within 2 hours of discovery. The DPO shall assess severity and notify the UAE Data Office within 72 hours where required by PDPL Article 9. Affected data subjects shall be notified without undue delay where the breach is likely to result in high risk to their rights.</w:t>
      </w:r>
    </w:p>
    <w:p>
      <w:pPr>
        <w:spacing w:before="280" w:after="120"/>
      </w:pPr>
      <w:r>
        <w:rPr>
          <w:b/>
          <w:color w:val="1A2B40"/>
          <w:sz w:val="28"/>
        </w:rPr>
        <w:t>8. Data Protection Impact Assessment</w:t>
      </w:r>
    </w:p>
    <w:p>
      <w:pPr>
        <w:spacing w:line="312" w:lineRule="auto" w:after="120"/>
      </w:pPr>
      <w:r>
        <w:rPr>
          <w:sz w:val="22"/>
        </w:rPr>
        <w:t>A DPIA must be conducted prior to deploying any new technology or process that is likely to result in high risk to data subjects, including AI/ML systems processing personal data, biometric processing, large-scale monitoring, or cross-border data transfers.</w:t>
      </w:r>
    </w:p>
    <w:p>
      <w:pPr>
        <w:spacing w:before="280" w:after="120"/>
      </w:pPr>
      <w:r>
        <w:rPr>
          <w:b/>
          <w:color w:val="1A2B40"/>
          <w:sz w:val="28"/>
        </w:rPr>
        <w:t>9. Training &amp; Awareness</w:t>
      </w:r>
    </w:p>
    <w:p>
      <w:pPr>
        <w:spacing w:line="312" w:lineRule="auto" w:after="120"/>
      </w:pPr>
      <w:r>
        <w:rPr>
          <w:sz w:val="22"/>
        </w:rPr>
        <w:t>All employees must complete mandatory data protection training upon joining and annually thereafter. The training is delivered via the Seekra Learning Portal and a passing score of 80% is required.</w:t>
      </w:r>
    </w:p>
    <w:p>
      <w:pPr>
        <w:spacing w:before="280" w:after="120"/>
      </w:pPr>
      <w:r>
        <w:rPr>
          <w:b/>
          <w:color w:val="1A2B40"/>
          <w:sz w:val="28"/>
        </w:rPr>
        <w:t>10. Governance &amp; Review</w:t>
      </w:r>
    </w:p>
    <w:p>
      <w:pPr>
        <w:spacing w:line="312" w:lineRule="auto" w:after="120"/>
      </w:pPr>
      <w:r>
        <w:rPr>
          <w:sz w:val="22"/>
        </w:rPr>
        <w:t>This policy is owned by the Group Chief Compliance Officer and reviewed annually by the Board Audit &amp; Risk Committee. The next scheduled review is 1 October 2027.</w:t>
      </w:r>
    </w:p>
    <w:sectPr w:rsidR="00FC693F" w:rsidRPr="0006063C" w:rsidSect="00034616">
      <w:pgSz w:w="12240" w:h="15840"/>
      <w:pgMar w:top="141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