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354"/>
            <w:shd w:val="clear" w:color="auto" w:fill="4C2991"/>
          </w:tcPr>
          <w:p>
            <w:pPr>
              <w:spacing w:before="160" w:after="160"/>
            </w:pPr>
            <w:r>
              <w:rPr>
                <w:rFonts w:ascii="Calibri" w:hAnsi="Calibri"/>
                <w:color w:val="FFFFFF"/>
                <w:sz w:val="20"/>
              </w:rPr>
              <w:t>SEEKRA MEDIA HOLDINGS</w:t>
            </w:r>
          </w:p>
        </w:tc>
      </w:tr>
    </w:tbl>
    <w:p>
      <w:pPr>
        <w:spacing w:before="0" w:after="3200"/>
      </w:pPr>
    </w:p>
    <w:p>
      <w:pPr>
        <w:spacing w:after="80"/>
        <w:jc w:val="left"/>
      </w:pPr>
      <w:r>
        <w:rPr>
          <w:rFonts w:ascii="Calibri" w:hAnsi="Calibri"/>
          <w:b/>
          <w:color w:val="4C2991"/>
          <w:sz w:val="88"/>
        </w:rPr>
        <w:t>Seekra</w:t>
      </w:r>
    </w:p>
    <w:p>
      <w:pPr>
        <w:spacing w:after="80"/>
        <w:jc w:val="left"/>
      </w:pPr>
      <w:r>
        <w:rPr>
          <w:rFonts w:ascii="Calibri" w:hAnsi="Calibri"/>
          <w:b/>
          <w:color w:val="18202A"/>
          <w:sz w:val="72"/>
        </w:rPr>
        <w:t>Strategic Roadmap</w:t>
      </w:r>
    </w:p>
    <w:p>
      <w:pPr>
        <w:pBdr>
          <w:bottom w:val="single" w:sz="18" w:space="1" w:color="D4AF37"/>
        </w:pBdr>
        <w:spacing w:before="0" w:after="160"/>
      </w:pPr>
    </w:p>
    <w:p>
      <w:pPr>
        <w:spacing w:before="160" w:after="40"/>
      </w:pPr>
      <w:r>
        <w:rPr>
          <w:rFonts w:ascii="Calibri" w:hAnsi="Calibri"/>
          <w:i/>
          <w:color w:val="506070"/>
          <w:sz w:val="28"/>
        </w:rPr>
        <w:t>Four options for the next major work after Brief #31 —</w:t>
      </w:r>
    </w:p>
    <w:p>
      <w:pPr>
        <w:spacing w:after="40"/>
      </w:pPr>
      <w:r>
        <w:rPr>
          <w:rFonts w:ascii="Calibri" w:hAnsi="Calibri"/>
          <w:i/>
          <w:color w:val="506070"/>
          <w:sz w:val="28"/>
        </w:rPr>
        <w:t>production hardening, multi-tenant SaaS, AD/SSO, and data connectors.</w:t>
      </w:r>
    </w:p>
    <w:p>
      <w:pPr>
        <w:spacing w:before="2400" w:after="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506070"/>
                <w:sz w:val="20"/>
              </w:rPr>
              <w:t>Audience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18202A"/>
                <w:sz w:val="22"/>
              </w:rPr>
              <w:t>Seekra leadership + Kimi (implementer)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506070"/>
                <w:sz w:val="20"/>
              </w:rPr>
              <w:t>Decision Required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18202A"/>
                <w:sz w:val="22"/>
              </w:rPr>
              <w:t>Pick one option to start, or run two in parallel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506070"/>
                <w:sz w:val="20"/>
              </w:rPr>
              <w:t>Total Roadmap Window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18202A"/>
                <w:sz w:val="22"/>
              </w:rPr>
              <w:t>8–12 weeks across 2–4 options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506070"/>
                <w:sz w:val="20"/>
              </w:rPr>
              <w:t>Date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18202A"/>
                <w:sz w:val="22"/>
              </w:rPr>
              <w:t>30 August 2026</w:t>
            </w:r>
          </w:p>
        </w:tc>
      </w:tr>
    </w:tbl>
    <w:p>
      <w:r>
        <w:br w:type="page"/>
      </w:r>
    </w:p>
    <w:p>
      <w:pPr>
        <w:pStyle w:val="Heading1"/>
        <w:spacing w:before="360" w:after="80"/>
      </w:pPr>
      <w:r>
        <w:rPr>
          <w:rFonts w:ascii="Calibri" w:hAnsi="Calibri"/>
          <w:b/>
          <w:color w:val="4C2991"/>
          <w:sz w:val="40"/>
        </w:rPr>
        <w:t>Executive Summary</w:t>
      </w:r>
    </w:p>
    <w:p>
      <w:pPr>
        <w:pBdr>
          <w:bottom w:val="single" w:sz="8" w:space="1" w:color="00A896"/>
        </w:pBdr>
        <w:spacing w:before="0" w:after="160"/>
      </w:pPr>
    </w:p>
    <w:p>
      <w:pPr>
        <w:spacing w:before="0" w:after="120" w:line="312" w:lineRule="auto"/>
        <w:jc w:val="both"/>
      </w:pPr>
      <w:r>
        <w:rPr>
          <w:rFonts w:ascii="Calibri" w:hAnsi="Calibri"/>
          <w:b w:val="0"/>
          <w:i w:val="0"/>
          <w:color w:val="18202A"/>
          <w:sz w:val="22"/>
        </w:rPr>
        <w:t>After completing Briefs #1 through #31, Seekra has a demo-ready, production-grade content intelligence platform with cited AI chat, PII masking, four-level access control, agent mode, deep answer mode, and a curated 32-document demo repository. The next major work should be one (or two in parallel) of four strategic directions, each addressing a different business gap: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680"/>
            <w:shd w:val="clear" w:color="auto" w:fill="4C2991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Option</w:t>
            </w:r>
          </w:p>
        </w:tc>
        <w:tc>
          <w:tcPr>
            <w:tcW w:type="dxa" w:w="3288"/>
            <w:shd w:val="clear" w:color="auto" w:fill="4C2991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1020"/>
            <w:shd w:val="clear" w:color="auto" w:fill="4C2991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Effort</w:t>
            </w:r>
          </w:p>
        </w:tc>
        <w:tc>
          <w:tcPr>
            <w:tcW w:type="dxa" w:w="2098"/>
            <w:shd w:val="clear" w:color="auto" w:fill="4C2991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Demo Impact</w:t>
            </w:r>
          </w:p>
        </w:tc>
        <w:tc>
          <w:tcPr>
            <w:tcW w:type="dxa" w:w="2268"/>
            <w:shd w:val="clear" w:color="auto" w:fill="4C2991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Unblocks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before="40" w:after="40" w:line="288" w:lineRule="auto"/>
            </w:pPr>
            <w:r>
              <w:rPr>
                <w:rFonts w:ascii="Calibri" w:hAnsi="Calibri"/>
                <w:color w:val="18202A"/>
                <w:sz w:val="19"/>
              </w:rPr>
              <w:t>E</w:t>
            </w:r>
          </w:p>
        </w:tc>
        <w:tc>
          <w:tcPr>
            <w:tcW w:type="dxa" w:w="3288"/>
            <w:vAlign w:val="top"/>
          </w:tcPr>
          <w:p>
            <w:pPr>
              <w:spacing w:before="40" w:after="40" w:line="288" w:lineRule="auto"/>
            </w:pPr>
            <w:r>
              <w:rPr>
                <w:rFonts w:ascii="Calibri" w:hAnsi="Calibri"/>
                <w:color w:val="18202A"/>
                <w:sz w:val="19"/>
              </w:rPr>
              <w:t>Production Deployment Hardening</w:t>
            </w:r>
          </w:p>
        </w:tc>
        <w:tc>
          <w:tcPr>
            <w:tcW w:type="dxa" w:w="1020"/>
            <w:vAlign w:val="top"/>
          </w:tcPr>
          <w:p>
            <w:pPr>
              <w:spacing w:before="40" w:after="40" w:line="288" w:lineRule="auto"/>
            </w:pPr>
            <w:r>
              <w:rPr>
                <w:rFonts w:ascii="Calibri" w:hAnsi="Calibri"/>
                <w:color w:val="18202A"/>
                <w:sz w:val="19"/>
              </w:rPr>
              <w:t>3–4 wks</w:t>
            </w:r>
          </w:p>
        </w:tc>
        <w:tc>
          <w:tcPr>
            <w:tcW w:type="dxa" w:w="2098"/>
            <w:vAlign w:val="top"/>
          </w:tcPr>
          <w:p>
            <w:pPr>
              <w:spacing w:before="40" w:after="40" w:line="288" w:lineRule="auto"/>
            </w:pPr>
            <w:r>
              <w:rPr>
                <w:rFonts w:ascii="Calibri" w:hAnsi="Calibri"/>
                <w:color w:val="18202A"/>
                <w:sz w:val="19"/>
              </w:rPr>
              <w:t>Low (backstage)</w:t>
            </w:r>
          </w:p>
        </w:tc>
        <w:tc>
          <w:tcPr>
            <w:tcW w:type="dxa" w:w="2268"/>
            <w:vAlign w:val="top"/>
          </w:tcPr>
          <w:p>
            <w:pPr>
              <w:spacing w:before="40" w:after="40" w:line="288" w:lineRule="auto"/>
            </w:pPr>
            <w:r>
              <w:rPr>
                <w:rFonts w:ascii="Calibri" w:hAnsi="Calibri"/>
                <w:color w:val="18202A"/>
                <w:sz w:val="19"/>
              </w:rPr>
              <w:t>Enterprise procurement</w:t>
            </w:r>
          </w:p>
        </w:tc>
      </w:tr>
      <w:tr>
        <w:tc>
          <w:tcPr>
            <w:tcW w:type="dxa" w:w="680"/>
            <w:shd w:val="clear" w:color="auto" w:fill="F5F7FA"/>
            <w:vAlign w:val="top"/>
          </w:tcPr>
          <w:p>
            <w:pPr>
              <w:spacing w:before="40" w:after="40" w:line="288" w:lineRule="auto"/>
            </w:pPr>
            <w:r>
              <w:rPr>
                <w:rFonts w:ascii="Calibri" w:hAnsi="Calibri"/>
                <w:color w:val="18202A"/>
                <w:sz w:val="19"/>
              </w:rPr>
              <w:t>F</w:t>
            </w:r>
          </w:p>
        </w:tc>
        <w:tc>
          <w:tcPr>
            <w:tcW w:type="dxa" w:w="3288"/>
            <w:shd w:val="clear" w:color="auto" w:fill="F5F7FA"/>
            <w:vAlign w:val="top"/>
          </w:tcPr>
          <w:p>
            <w:pPr>
              <w:spacing w:before="40" w:after="40" w:line="288" w:lineRule="auto"/>
            </w:pPr>
            <w:r>
              <w:rPr>
                <w:rFonts w:ascii="Calibri" w:hAnsi="Calibri"/>
                <w:color w:val="18202A"/>
                <w:sz w:val="19"/>
              </w:rPr>
              <w:t>Multi-Tenant SaaS Prep</w:t>
            </w:r>
          </w:p>
        </w:tc>
        <w:tc>
          <w:tcPr>
            <w:tcW w:type="dxa" w:w="1020"/>
            <w:shd w:val="clear" w:color="auto" w:fill="F5F7FA"/>
            <w:vAlign w:val="top"/>
          </w:tcPr>
          <w:p>
            <w:pPr>
              <w:spacing w:before="40" w:after="40" w:line="288" w:lineRule="auto"/>
            </w:pPr>
            <w:r>
              <w:rPr>
                <w:rFonts w:ascii="Calibri" w:hAnsi="Calibri"/>
                <w:color w:val="18202A"/>
                <w:sz w:val="19"/>
              </w:rPr>
              <w:t>4–6 wks</w:t>
            </w:r>
          </w:p>
        </w:tc>
        <w:tc>
          <w:tcPr>
            <w:tcW w:type="dxa" w:w="2098"/>
            <w:shd w:val="clear" w:color="auto" w:fill="F5F7FA"/>
            <w:vAlign w:val="top"/>
          </w:tcPr>
          <w:p>
            <w:pPr>
              <w:spacing w:before="40" w:after="40" w:line="288" w:lineRule="auto"/>
            </w:pPr>
            <w:r>
              <w:rPr>
                <w:rFonts w:ascii="Calibri" w:hAnsi="Calibri"/>
                <w:color w:val="18202A"/>
                <w:sz w:val="19"/>
              </w:rPr>
              <w:t>High (tenant spin-up)</w:t>
            </w:r>
          </w:p>
        </w:tc>
        <w:tc>
          <w:tcPr>
            <w:tcW w:type="dxa" w:w="2268"/>
            <w:shd w:val="clear" w:color="auto" w:fill="F5F7FA"/>
            <w:vAlign w:val="top"/>
          </w:tcPr>
          <w:p>
            <w:pPr>
              <w:spacing w:before="40" w:after="40" w:line="288" w:lineRule="auto"/>
            </w:pPr>
            <w:r>
              <w:rPr>
                <w:rFonts w:ascii="Calibri" w:hAnsi="Calibri"/>
                <w:color w:val="18202A"/>
                <w:sz w:val="19"/>
              </w:rPr>
              <w:t>System integrators, holding cos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before="40" w:after="40" w:line="288" w:lineRule="auto"/>
            </w:pPr>
            <w:r>
              <w:rPr>
                <w:rFonts w:ascii="Calibri" w:hAnsi="Calibri"/>
                <w:color w:val="18202A"/>
                <w:sz w:val="19"/>
              </w:rPr>
              <w:t>G</w:t>
            </w:r>
          </w:p>
        </w:tc>
        <w:tc>
          <w:tcPr>
            <w:tcW w:type="dxa" w:w="3288"/>
            <w:vAlign w:val="top"/>
          </w:tcPr>
          <w:p>
            <w:pPr>
              <w:spacing w:before="40" w:after="40" w:line="288" w:lineRule="auto"/>
            </w:pPr>
            <w:r>
              <w:rPr>
                <w:rFonts w:ascii="Calibri" w:hAnsi="Calibri"/>
                <w:color w:val="18202A"/>
                <w:sz w:val="19"/>
              </w:rPr>
              <w:t>AD / SSO (OIDC + SCIM)</w:t>
            </w:r>
          </w:p>
        </w:tc>
        <w:tc>
          <w:tcPr>
            <w:tcW w:type="dxa" w:w="1020"/>
            <w:vAlign w:val="top"/>
          </w:tcPr>
          <w:p>
            <w:pPr>
              <w:spacing w:before="40" w:after="40" w:line="288" w:lineRule="auto"/>
            </w:pPr>
            <w:r>
              <w:rPr>
                <w:rFonts w:ascii="Calibri" w:hAnsi="Calibri"/>
                <w:color w:val="18202A"/>
                <w:sz w:val="19"/>
              </w:rPr>
              <w:t>2–3 wks</w:t>
            </w:r>
          </w:p>
        </w:tc>
        <w:tc>
          <w:tcPr>
            <w:tcW w:type="dxa" w:w="2098"/>
            <w:vAlign w:val="top"/>
          </w:tcPr>
          <w:p>
            <w:pPr>
              <w:spacing w:before="40" w:after="40" w:line="288" w:lineRule="auto"/>
            </w:pPr>
            <w:r>
              <w:rPr>
                <w:rFonts w:ascii="Calibri" w:hAnsi="Calibri"/>
                <w:color w:val="18202A"/>
                <w:sz w:val="19"/>
              </w:rPr>
              <w:t>Medium (login demo)</w:t>
            </w:r>
          </w:p>
        </w:tc>
        <w:tc>
          <w:tcPr>
            <w:tcW w:type="dxa" w:w="2268"/>
            <w:vAlign w:val="top"/>
          </w:tcPr>
          <w:p>
            <w:pPr>
              <w:spacing w:before="40" w:after="40" w:line="288" w:lineRule="auto"/>
            </w:pPr>
            <w:r>
              <w:rPr>
                <w:rFonts w:ascii="Calibri" w:hAnsi="Calibri"/>
                <w:color w:val="18202A"/>
                <w:sz w:val="19"/>
              </w:rPr>
              <w:t>~70% of enterprise deals</w:t>
            </w:r>
          </w:p>
        </w:tc>
      </w:tr>
      <w:tr>
        <w:tc>
          <w:tcPr>
            <w:tcW w:type="dxa" w:w="680"/>
            <w:shd w:val="clear" w:color="auto" w:fill="F5F7FA"/>
            <w:vAlign w:val="top"/>
          </w:tcPr>
          <w:p>
            <w:pPr>
              <w:spacing w:before="40" w:after="40" w:line="288" w:lineRule="auto"/>
            </w:pPr>
            <w:r>
              <w:rPr>
                <w:rFonts w:ascii="Calibri" w:hAnsi="Calibri"/>
                <w:color w:val="18202A"/>
                <w:sz w:val="19"/>
              </w:rPr>
              <w:t>H</w:t>
            </w:r>
          </w:p>
        </w:tc>
        <w:tc>
          <w:tcPr>
            <w:tcW w:type="dxa" w:w="3288"/>
            <w:shd w:val="clear" w:color="auto" w:fill="F5F7FA"/>
            <w:vAlign w:val="top"/>
          </w:tcPr>
          <w:p>
            <w:pPr>
              <w:spacing w:before="40" w:after="40" w:line="288" w:lineRule="auto"/>
            </w:pPr>
            <w:r>
              <w:rPr>
                <w:rFonts w:ascii="Calibri" w:hAnsi="Calibri"/>
                <w:color w:val="18202A"/>
                <w:sz w:val="19"/>
              </w:rPr>
              <w:t>Data Connectors + Bulk Ingest</w:t>
            </w:r>
          </w:p>
        </w:tc>
        <w:tc>
          <w:tcPr>
            <w:tcW w:type="dxa" w:w="1020"/>
            <w:shd w:val="clear" w:color="auto" w:fill="F5F7FA"/>
            <w:vAlign w:val="top"/>
          </w:tcPr>
          <w:p>
            <w:pPr>
              <w:spacing w:before="40" w:after="40" w:line="288" w:lineRule="auto"/>
            </w:pPr>
            <w:r>
              <w:rPr>
                <w:rFonts w:ascii="Calibri" w:hAnsi="Calibri"/>
                <w:color w:val="18202A"/>
                <w:sz w:val="19"/>
              </w:rPr>
              <w:t>3–4 wks</w:t>
            </w:r>
          </w:p>
        </w:tc>
        <w:tc>
          <w:tcPr>
            <w:tcW w:type="dxa" w:w="2098"/>
            <w:shd w:val="clear" w:color="auto" w:fill="F5F7FA"/>
            <w:vAlign w:val="top"/>
          </w:tcPr>
          <w:p>
            <w:pPr>
              <w:spacing w:before="40" w:after="40" w:line="288" w:lineRule="auto"/>
            </w:pPr>
            <w:r>
              <w:rPr>
                <w:rFonts w:ascii="Calibri" w:hAnsi="Calibri"/>
                <w:color w:val="18202A"/>
                <w:sz w:val="19"/>
              </w:rPr>
              <w:t>High (drag folder → instant library)</w:t>
            </w:r>
          </w:p>
        </w:tc>
        <w:tc>
          <w:tcPr>
            <w:tcW w:type="dxa" w:w="2268"/>
            <w:shd w:val="clear" w:color="auto" w:fill="F5F7FA"/>
            <w:vAlign w:val="top"/>
          </w:tcPr>
          <w:p>
            <w:pPr>
              <w:spacing w:before="40" w:after="40" w:line="288" w:lineRule="auto"/>
            </w:pPr>
            <w:r>
              <w:rPr>
                <w:rFonts w:ascii="Calibri" w:hAnsi="Calibri"/>
                <w:color w:val="18202A"/>
                <w:sz w:val="19"/>
              </w:rPr>
              <w:t>Any customer with existing corpus</w:t>
            </w:r>
          </w:p>
        </w:tc>
      </w:tr>
    </w:tbl>
    <w:p>
      <w:pPr>
        <w:spacing w:after="120"/>
      </w:pPr>
    </w:p>
    <w:p>
      <w:pPr>
        <w:pStyle w:val="Heading2"/>
        <w:spacing w:before="280" w:after="80"/>
      </w:pPr>
      <w:r>
        <w:rPr>
          <w:rFonts w:ascii="Calibri" w:hAnsi="Calibri"/>
          <w:b/>
          <w:color w:val="4C2991"/>
          <w:sz w:val="28"/>
        </w:rPr>
        <w:t>Recommendation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354"/>
            <w:shd w:val="clear" w:color="auto" w:fill="F5F7FA"/>
            <w:tcBorders>
              <w:left w:val="single" w:sz="24" w:color="00A896"/>
              <w:top w:val="single" w:sz="4" w:color="E0E4E8"/>
              <w:bottom w:val="single" w:sz="4" w:color="E0E4E8"/>
              <w:right w:val="single" w:sz="4" w:color="E0E4E8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00A896"/>
                <w:sz w:val="20"/>
              </w:rPr>
              <w:t>RECOMMENDED SEQUENCE</w:t>
            </w:r>
          </w:p>
          <w:p>
            <w:pPr>
              <w:spacing w:after="80" w:line="312" w:lineRule="auto"/>
            </w:pPr>
            <w:r>
              <w:rPr>
                <w:rFonts w:ascii="Calibri" w:hAnsi="Calibri"/>
                <w:color w:val="18202A"/>
                <w:sz w:val="21"/>
              </w:rPr>
              <w:t>1. Option H (Data Connectors) — 3–4 weeks. Highest-leverage for closing deals; the local-folder-watcher is a killer demo moment. Brief #32 drafted.</w:t>
              <w:br/>
              <w:t>2. Option G (AD/SSO) — 2–3 weeks. Table-stakes for enterprise deals; runs in parallel with H if capacity allows. Brief #33 drafted.</w:t>
              <w:br/>
              <w:t>3. Option E (Prod Hardening) — 3–4 weeks. Once you have real customers ingesting real content with real SSO logins, do the reliability work.</w:t>
              <w:br/>
              <w:t>4. Option F (Multi-Tenant SaaS) — 4–6 weeks. Defer until 3+ customers ask for white-label; premature optimization otherwise.</w:t>
            </w:r>
          </w:p>
        </w:tc>
      </w:tr>
    </w:tbl>
    <w:p>
      <w:pPr>
        <w:spacing w:after="120"/>
      </w:pPr>
    </w:p>
    <w:p>
      <w:pPr>
        <w:spacing w:before="0" w:after="120" w:line="312" w:lineRule="auto"/>
        <w:jc w:val="left"/>
      </w:pPr>
      <w:r>
        <w:rPr>
          <w:rFonts w:ascii="Calibri" w:hAnsi="Calibri"/>
          <w:b w:val="0"/>
          <w:i/>
          <w:color w:val="506070"/>
          <w:sz w:val="22"/>
        </w:rPr>
        <w:t>Briefs #32 (Option H) and #33 (Option G) are drafted in the accompanying files Brief_32_Data_Connectors.md and Brief_33_AD_SSO.md. Hand them to Kimi in order.</w:t>
      </w:r>
    </w:p>
    <w:p>
      <w:r>
        <w:br w:type="page"/>
      </w:r>
    </w:p>
    <w:p>
      <w:pPr>
        <w:pStyle w:val="Heading1"/>
        <w:spacing w:before="360" w:after="80"/>
      </w:pPr>
      <w:r>
        <w:rPr>
          <w:rFonts w:ascii="Calibri" w:hAnsi="Calibri"/>
          <w:b/>
          <w:color w:val="4C2991"/>
          <w:sz w:val="40"/>
        </w:rPr>
        <w:t>Option E — Production Deployment Hardening</w:t>
      </w:r>
    </w:p>
    <w:p>
      <w:pPr>
        <w:pBdr>
          <w:bottom w:val="single" w:sz="8" w:space="1" w:color="00A896"/>
        </w:pBdr>
        <w:spacing w:before="0" w:after="160"/>
      </w:pPr>
    </w:p>
    <w:p>
      <w:pPr>
        <w:spacing w:before="0" w:after="120" w:line="312" w:lineRule="auto"/>
        <w:jc w:val="left"/>
      </w:pPr>
      <w:r>
        <w:rPr>
          <w:rFonts w:ascii="Calibri" w:hAnsi="Calibri"/>
          <w:b w:val="0"/>
          <w:i/>
          <w:color w:val="506070"/>
          <w:sz w:val="22"/>
        </w:rPr>
        <w:t>Effort: 3–4 weeks · Demo impact: Low (backstage) · Strategic value: Foundational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4C2991"/>
          <w:sz w:val="28"/>
        </w:rPr>
        <w:t>What it sounds like</w:t>
      </w:r>
    </w:p>
    <w:p>
      <w:pPr>
        <w:spacing w:before="0" w:after="120" w:line="312" w:lineRule="auto"/>
        <w:jc w:val="left"/>
      </w:pPr>
      <w:r>
        <w:rPr>
          <w:rFonts w:ascii="Calibri" w:hAnsi="Calibri"/>
          <w:b w:val="0"/>
          <w:i w:val="0"/>
          <w:color w:val="18202A"/>
          <w:sz w:val="22"/>
        </w:rPr>
        <w:t>Tighten the deployment for production-grade reliability.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4C2991"/>
          <w:sz w:val="28"/>
        </w:rPr>
        <w:t>What it actually means (full scope)</w:t>
      </w:r>
    </w:p>
    <w:p>
      <w:pPr>
        <w:pStyle w:val="Heading3"/>
        <w:spacing w:before="200" w:after="40"/>
      </w:pPr>
      <w:r>
        <w:rPr>
          <w:rFonts w:ascii="Calibri" w:hAnsi="Calibri"/>
          <w:b/>
          <w:color w:val="18202A"/>
          <w:sz w:val="24"/>
        </w:rPr>
        <w:t>High availability</w:t>
      </w:r>
    </w:p>
    <w:p>
      <w:pPr>
        <w:pStyle w:val="ListBullet"/>
        <w:spacing w:line="312" w:lineRule="auto" w:after="60"/>
      </w:pPr>
      <w:r>
        <w:rPr>
          <w:rFonts w:ascii="Calibri" w:hAnsi="Calibri"/>
          <w:color w:val="18202A"/>
          <w:sz w:val="22"/>
        </w:rPr>
        <w:t>Postgres streaming replication + automatic failover (Patroni or Stolon)</w:t>
      </w:r>
    </w:p>
    <w:p>
      <w:pPr>
        <w:pStyle w:val="ListBullet"/>
        <w:spacing w:line="312" w:lineRule="auto" w:after="60"/>
      </w:pPr>
      <w:r>
        <w:rPr>
          <w:rFonts w:ascii="Calibri" w:hAnsi="Calibri"/>
          <w:color w:val="18202A"/>
          <w:sz w:val="22"/>
        </w:rPr>
        <w:t>Redis Sentinel for cache HA</w:t>
      </w:r>
    </w:p>
    <w:p>
      <w:pPr>
        <w:pStyle w:val="ListBullet"/>
        <w:spacing w:line="312" w:lineRule="auto" w:after="60"/>
      </w:pPr>
      <w:r>
        <w:rPr>
          <w:rFonts w:ascii="Calibri" w:hAnsi="Calibri"/>
          <w:color w:val="18202A"/>
          <w:sz w:val="22"/>
        </w:rPr>
        <w:t>MinIO distributed mode (4+ nodes) for object storage HA</w:t>
      </w:r>
    </w:p>
    <w:p>
      <w:pPr>
        <w:pStyle w:val="ListBullet"/>
        <w:spacing w:line="312" w:lineRule="auto" w:after="60"/>
      </w:pPr>
      <w:r>
        <w:rPr>
          <w:rFonts w:ascii="Calibri" w:hAnsi="Calibri"/>
          <w:color w:val="18202A"/>
          <w:sz w:val="22"/>
        </w:rPr>
        <w:t>Backend ≥2 replicas behind nginx upstream with health checks</w:t>
      </w:r>
    </w:p>
    <w:p>
      <w:pPr>
        <w:pStyle w:val="Heading3"/>
        <w:spacing w:before="200" w:after="40"/>
      </w:pPr>
      <w:r>
        <w:rPr>
          <w:rFonts w:ascii="Calibri" w:hAnsi="Calibri"/>
          <w:b/>
          <w:color w:val="18202A"/>
          <w:sz w:val="24"/>
        </w:rPr>
        <w:t>Backups &amp; disaster recovery</w:t>
      </w:r>
    </w:p>
    <w:p>
      <w:pPr>
        <w:pStyle w:val="ListBullet"/>
        <w:spacing w:line="312" w:lineRule="auto" w:after="60"/>
      </w:pPr>
      <w:r>
        <w:rPr>
          <w:rFonts w:ascii="Calibri" w:hAnsi="Calibri"/>
          <w:color w:val="18202A"/>
          <w:sz w:val="22"/>
        </w:rPr>
        <w:t>Automated daily PITR (Point-In-Time Recovery) via pgBackRest</w:t>
      </w:r>
    </w:p>
    <w:p>
      <w:pPr>
        <w:pStyle w:val="ListBullet"/>
        <w:spacing w:line="312" w:lineRule="auto" w:after="60"/>
      </w:pPr>
      <w:r>
        <w:rPr>
          <w:rFonts w:ascii="Calibri" w:hAnsi="Calibri"/>
          <w:color w:val="18202A"/>
          <w:sz w:val="22"/>
        </w:rPr>
        <w:t>MinIO bucket replication to a second region</w:t>
      </w:r>
    </w:p>
    <w:p>
      <w:pPr>
        <w:pStyle w:val="ListBullet"/>
        <w:spacing w:line="312" w:lineRule="auto" w:after="60"/>
      </w:pPr>
      <w:r>
        <w:rPr>
          <w:rFonts w:ascii="Calibri" w:hAnsi="Calibri"/>
          <w:color w:val="18202A"/>
          <w:sz w:val="22"/>
        </w:rPr>
        <w:t>Tested restore runbook (currently scripts/backup.sh is manual)</w:t>
      </w:r>
    </w:p>
    <w:p>
      <w:pPr>
        <w:pStyle w:val="Heading3"/>
        <w:spacing w:before="200" w:after="40"/>
      </w:pPr>
      <w:r>
        <w:rPr>
          <w:rFonts w:ascii="Calibri" w:hAnsi="Calibri"/>
          <w:b/>
          <w:color w:val="18202A"/>
          <w:sz w:val="24"/>
        </w:rPr>
        <w:t>Observability</w:t>
      </w:r>
    </w:p>
    <w:p>
      <w:pPr>
        <w:pStyle w:val="ListBullet"/>
        <w:spacing w:line="312" w:lineRule="auto" w:after="60"/>
      </w:pPr>
      <w:r>
        <w:rPr>
          <w:rFonts w:ascii="Calibri" w:hAnsi="Calibri"/>
          <w:color w:val="18202A"/>
          <w:sz w:val="22"/>
        </w:rPr>
        <w:t>Structured JSON logging → shipped to Loki or Datadog</w:t>
      </w:r>
    </w:p>
    <w:p>
      <w:pPr>
        <w:pStyle w:val="ListBullet"/>
        <w:spacing w:line="312" w:lineRule="auto" w:after="60"/>
      </w:pPr>
      <w:r>
        <w:rPr>
          <w:rFonts w:ascii="Calibri" w:hAnsi="Calibri"/>
          <w:color w:val="18202A"/>
          <w:sz w:val="22"/>
        </w:rPr>
        <w:t>Prometheus /metrics endpoint (latency, error rate, embedding queue depth)</w:t>
      </w:r>
    </w:p>
    <w:p>
      <w:pPr>
        <w:pStyle w:val="ListBullet"/>
        <w:spacing w:line="312" w:lineRule="auto" w:after="60"/>
      </w:pPr>
      <w:r>
        <w:rPr>
          <w:rFonts w:ascii="Calibri" w:hAnsi="Calibri"/>
          <w:color w:val="18202A"/>
          <w:sz w:val="22"/>
        </w:rPr>
        <w:t>Grafana dashboards + alerting rules (PagerDuty or Slack)</w:t>
      </w:r>
    </w:p>
    <w:p>
      <w:pPr>
        <w:pStyle w:val="Heading3"/>
        <w:spacing w:before="200" w:after="40"/>
      </w:pPr>
      <w:r>
        <w:rPr>
          <w:rFonts w:ascii="Calibri" w:hAnsi="Calibri"/>
          <w:b/>
          <w:color w:val="18202A"/>
          <w:sz w:val="24"/>
        </w:rPr>
        <w:t>Secrets management</w:t>
      </w:r>
    </w:p>
    <w:p>
      <w:pPr>
        <w:pStyle w:val="ListBullet"/>
        <w:spacing w:line="312" w:lineRule="auto" w:after="60"/>
      </w:pPr>
      <w:r>
        <w:rPr>
          <w:rFonts w:ascii="Calibri" w:hAnsi="Calibri"/>
          <w:color w:val="18202A"/>
          <w:sz w:val="22"/>
        </w:rPr>
        <w:t>Move .env to HashiCorp Vault or AWS Secrets Manager</w:t>
      </w:r>
    </w:p>
    <w:p>
      <w:pPr>
        <w:pStyle w:val="ListBullet"/>
        <w:spacing w:line="312" w:lineRule="auto" w:after="60"/>
      </w:pPr>
      <w:r>
        <w:rPr>
          <w:rFonts w:ascii="Calibri" w:hAnsi="Calibri"/>
          <w:color w:val="18202A"/>
          <w:sz w:val="22"/>
        </w:rPr>
        <w:t>Auto-rotate JWT secret + DB password on a schedule (quarterly)</w:t>
      </w:r>
    </w:p>
    <w:p>
      <w:pPr>
        <w:pStyle w:val="Heading3"/>
        <w:spacing w:before="200" w:after="40"/>
      </w:pPr>
      <w:r>
        <w:rPr>
          <w:rFonts w:ascii="Calibri" w:hAnsi="Calibri"/>
          <w:b/>
          <w:color w:val="18202A"/>
          <w:sz w:val="24"/>
        </w:rPr>
        <w:t>TLS + container hardening</w:t>
      </w:r>
    </w:p>
    <w:p>
      <w:pPr>
        <w:pStyle w:val="ListBullet"/>
        <w:spacing w:line="312" w:lineRule="auto" w:after="60"/>
      </w:pPr>
      <w:r>
        <w:rPr>
          <w:rFonts w:ascii="Calibri" w:hAnsi="Calibri"/>
          <w:color w:val="18202A"/>
          <w:sz w:val="22"/>
        </w:rPr>
        <w:t>OCSP stapling, TLS 1.3-only, certificate pinning for PWA</w:t>
      </w:r>
    </w:p>
    <w:p>
      <w:pPr>
        <w:pStyle w:val="ListBullet"/>
        <w:spacing w:line="312" w:lineRule="auto" w:after="60"/>
      </w:pPr>
      <w:r>
        <w:rPr>
          <w:rFonts w:ascii="Calibri" w:hAnsi="Calibri"/>
          <w:color w:val="18202A"/>
          <w:sz w:val="22"/>
        </w:rPr>
        <w:t>Distroless backend image (currently python:3.12 base)</w:t>
      </w:r>
    </w:p>
    <w:p>
      <w:pPr>
        <w:pStyle w:val="ListBullet"/>
        <w:spacing w:line="312" w:lineRule="auto" w:after="60"/>
      </w:pPr>
      <w:r>
        <w:rPr>
          <w:rFonts w:ascii="Calibri" w:hAnsi="Calibri"/>
          <w:color w:val="18202A"/>
          <w:sz w:val="22"/>
        </w:rPr>
        <w:t>Read-only root filesystem, non-root user, network policies</w:t>
      </w:r>
    </w:p>
    <w:p>
      <w:pPr>
        <w:pStyle w:val="Heading3"/>
        <w:spacing w:before="200" w:after="40"/>
      </w:pPr>
      <w:r>
        <w:rPr>
          <w:rFonts w:ascii="Calibri" w:hAnsi="Calibri"/>
          <w:b/>
          <w:color w:val="18202A"/>
          <w:sz w:val="24"/>
        </w:rPr>
        <w:t>Rate limiting + cost guardrails</w:t>
      </w:r>
    </w:p>
    <w:p>
      <w:pPr>
        <w:pStyle w:val="ListBullet"/>
        <w:spacing w:line="312" w:lineRule="auto" w:after="60"/>
      </w:pPr>
      <w:r>
        <w:rPr>
          <w:rFonts w:ascii="Calibri" w:hAnsi="Calibri"/>
          <w:color w:val="18202A"/>
          <w:sz w:val="22"/>
        </w:rPr>
        <w:t>nginx limit_req per IP + per user; AWS WAF or Cloudflare in front</w:t>
      </w:r>
    </w:p>
    <w:p>
      <w:pPr>
        <w:pStyle w:val="ListBullet"/>
        <w:spacing w:line="312" w:lineRule="auto" w:after="60"/>
      </w:pPr>
      <w:r>
        <w:rPr>
          <w:rFonts w:ascii="Calibri" w:hAnsi="Calibri"/>
          <w:color w:val="18202A"/>
          <w:sz w:val="22"/>
        </w:rPr>
        <w:t>Ollama GPU autoscaling; embedding queue backpressure; MinIO lifecycle policies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4C2991"/>
          <w:sz w:val="28"/>
        </w:rPr>
        <w:t>Why this option</w:t>
      </w:r>
    </w:p>
    <w:p>
      <w:pPr>
        <w:spacing w:before="0" w:after="120" w:line="312" w:lineRule="auto"/>
        <w:jc w:val="both"/>
      </w:pPr>
      <w:r>
        <w:rPr>
          <w:rFonts w:ascii="Calibri" w:hAnsi="Calibri"/>
          <w:b w:val="0"/>
          <w:i w:val="0"/>
          <w:color w:val="18202A"/>
          <w:sz w:val="22"/>
        </w:rPr>
        <w:t>Less demo-able but unblocks every enterprise procurement checklist. Buyer signal: 'We need 99.9% uptime SLA and a DR plan signed off by our infra team.'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4C2991"/>
          <w:sz w:val="28"/>
        </w:rPr>
        <w:t>Why NOT first</w:t>
      </w:r>
    </w:p>
    <w:p>
      <w:pPr>
        <w:spacing w:before="0" w:after="120" w:line="312" w:lineRule="auto"/>
        <w:jc w:val="both"/>
      </w:pPr>
      <w:r>
        <w:rPr>
          <w:rFonts w:ascii="Calibri" w:hAnsi="Calibri"/>
          <w:b w:val="0"/>
          <w:i w:val="0"/>
          <w:color w:val="18202A"/>
          <w:sz w:val="22"/>
        </w:rPr>
        <w:t>Hardening is best done once you have real production load and real customer-failure modes to learn from. Doing it before customer #1 ships is premature — you'll harden for hypothetical problems instead of real ones.</w:t>
      </w:r>
    </w:p>
    <w:p>
      <w:r>
        <w:br w:type="page"/>
      </w:r>
    </w:p>
    <w:p>
      <w:pPr>
        <w:pStyle w:val="Heading1"/>
        <w:spacing w:before="360" w:after="80"/>
      </w:pPr>
      <w:r>
        <w:rPr>
          <w:rFonts w:ascii="Calibri" w:hAnsi="Calibri"/>
          <w:b/>
          <w:color w:val="4C2991"/>
          <w:sz w:val="40"/>
        </w:rPr>
        <w:t>Option F — Multi-Tenant SaaS Prep</w:t>
      </w:r>
    </w:p>
    <w:p>
      <w:pPr>
        <w:pBdr>
          <w:bottom w:val="single" w:sz="8" w:space="1" w:color="00A896"/>
        </w:pBdr>
        <w:spacing w:before="0" w:after="160"/>
      </w:pPr>
    </w:p>
    <w:p>
      <w:pPr>
        <w:spacing w:before="0" w:after="120" w:line="312" w:lineRule="auto"/>
        <w:jc w:val="left"/>
      </w:pPr>
      <w:r>
        <w:rPr>
          <w:rFonts w:ascii="Calibri" w:hAnsi="Calibri"/>
          <w:b w:val="0"/>
          <w:i/>
          <w:color w:val="506070"/>
          <w:sz w:val="22"/>
        </w:rPr>
        <w:t>Effort: 4–6 weeks · Demo impact: High (tenant spin-up) · Strategic value: Transforms business model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4C2991"/>
          <w:sz w:val="28"/>
        </w:rPr>
        <w:t>What it sounds like</w:t>
      </w:r>
    </w:p>
    <w:p>
      <w:pPr>
        <w:spacing w:before="0" w:after="120" w:line="312" w:lineRule="auto"/>
        <w:jc w:val="left"/>
      </w:pPr>
      <w:r>
        <w:rPr>
          <w:rFonts w:ascii="Calibri" w:hAnsi="Calibri"/>
          <w:b w:val="0"/>
          <w:i w:val="0"/>
          <w:color w:val="18202A"/>
          <w:sz w:val="22"/>
        </w:rPr>
        <w:t>Convert Seekra from single-tenant to multi-tenant so you can serve multiple customers from one deployment.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4C2991"/>
          <w:sz w:val="28"/>
        </w:rPr>
        <w:t>What it actually means (full scope)</w:t>
      </w:r>
    </w:p>
    <w:p>
      <w:pPr>
        <w:pStyle w:val="Heading3"/>
        <w:spacing w:before="200" w:after="40"/>
      </w:pPr>
      <w:r>
        <w:rPr>
          <w:rFonts w:ascii="Calibri" w:hAnsi="Calibri"/>
          <w:b/>
          <w:color w:val="18202A"/>
          <w:sz w:val="24"/>
        </w:rPr>
        <w:t>Tenant isolation model decision</w:t>
      </w:r>
    </w:p>
    <w:p>
      <w:pPr>
        <w:spacing w:before="0" w:after="120" w:line="312" w:lineRule="auto"/>
        <w:jc w:val="left"/>
      </w:pPr>
      <w:r>
        <w:rPr>
          <w:rFonts w:ascii="Calibri" w:hAnsi="Calibri"/>
          <w:b w:val="0"/>
          <w:i w:val="0"/>
          <w:color w:val="18202A"/>
          <w:sz w:val="22"/>
        </w:rPr>
        <w:t>Three options, ordered by isolation strength and cost:</w:t>
      </w:r>
    </w:p>
    <w:p>
      <w:pPr>
        <w:pStyle w:val="ListBullet"/>
        <w:spacing w:line="312" w:lineRule="auto" w:after="60"/>
      </w:pPr>
      <w:r>
        <w:rPr>
          <w:rFonts w:ascii="Calibri" w:hAnsi="Calibri"/>
          <w:color w:val="18202A"/>
          <w:sz w:val="22"/>
        </w:rPr>
        <w:t>Shared DB with tenant_id column — cheapest, weakest isolation, highest multi-tenancy density</w:t>
      </w:r>
    </w:p>
    <w:p>
      <w:pPr>
        <w:pStyle w:val="ListBullet"/>
        <w:spacing w:line="312" w:lineRule="auto" w:after="60"/>
      </w:pPr>
      <w:r>
        <w:rPr>
          <w:rFonts w:ascii="Calibri" w:hAnsi="Calibri"/>
          <w:color w:val="18202A"/>
          <w:sz w:val="22"/>
        </w:rPr>
        <w:t>Schema-per-tenant — middle ground; clean separation, still manageable (RECOMMENDED for media-holding client mix)</w:t>
      </w:r>
    </w:p>
    <w:p>
      <w:pPr>
        <w:pStyle w:val="ListBullet"/>
        <w:spacing w:line="312" w:lineRule="auto" w:after="60"/>
      </w:pPr>
      <w:r>
        <w:rPr>
          <w:rFonts w:ascii="Calibri" w:hAnsi="Calibri"/>
          <w:color w:val="18202A"/>
          <w:sz w:val="22"/>
        </w:rPr>
        <w:t>DB-per-tenant — strongest, most expensive, lowest density</w:t>
      </w:r>
    </w:p>
    <w:p>
      <w:pPr>
        <w:pStyle w:val="Heading3"/>
        <w:spacing w:before="200" w:after="40"/>
      </w:pPr>
      <w:r>
        <w:rPr>
          <w:rFonts w:ascii="Calibri" w:hAnsi="Calibri"/>
          <w:b/>
          <w:color w:val="18202A"/>
          <w:sz w:val="24"/>
        </w:rPr>
        <w:t>Tenant context propagation</w:t>
      </w:r>
    </w:p>
    <w:p>
      <w:pPr>
        <w:pStyle w:val="ListBullet"/>
        <w:spacing w:line="312" w:lineRule="auto" w:after="60"/>
      </w:pPr>
      <w:r>
        <w:rPr>
          <w:rFonts w:ascii="Calibri" w:hAnsi="Calibri"/>
          <w:color w:val="18202A"/>
          <w:sz w:val="22"/>
        </w:rPr>
        <w:t>Every API request resolves tenant from subdomain (acme.seekra.pk) or JWT claim</w:t>
      </w:r>
    </w:p>
    <w:p>
      <w:pPr>
        <w:pStyle w:val="ListBullet"/>
        <w:spacing w:line="312" w:lineRule="auto" w:after="60"/>
      </w:pPr>
      <w:r>
        <w:rPr>
          <w:rFonts w:ascii="Calibri" w:hAnsi="Calibri"/>
          <w:color w:val="18202A"/>
          <w:sz w:val="22"/>
        </w:rPr>
        <w:t>Every SQL query auto-scoped to tenant</w:t>
      </w:r>
    </w:p>
    <w:p>
      <w:pPr>
        <w:pStyle w:val="ListBullet"/>
        <w:spacing w:line="312" w:lineRule="auto" w:after="60"/>
      </w:pPr>
      <w:r>
        <w:rPr>
          <w:rFonts w:ascii="Calibri" w:hAnsi="Calibri"/>
          <w:color w:val="18202A"/>
          <w:sz w:val="22"/>
        </w:rPr>
        <w:t>Celery workers inherit tenant context (ContextVar)</w:t>
      </w:r>
    </w:p>
    <w:p>
      <w:pPr>
        <w:pStyle w:val="Heading3"/>
        <w:spacing w:before="200" w:after="40"/>
      </w:pPr>
      <w:r>
        <w:rPr>
          <w:rFonts w:ascii="Calibri" w:hAnsi="Calibri"/>
          <w:b/>
          <w:color w:val="18202A"/>
          <w:sz w:val="24"/>
        </w:rPr>
        <w:t>Tenant onboarding flow</w:t>
      </w:r>
    </w:p>
    <w:p>
      <w:pPr>
        <w:pStyle w:val="ListBullet"/>
        <w:spacing w:line="312" w:lineRule="auto" w:after="60"/>
      </w:pPr>
      <w:r>
        <w:rPr>
          <w:rFonts w:ascii="Calibri" w:hAnsi="Calibri"/>
          <w:color w:val="18202A"/>
          <w:sz w:val="22"/>
        </w:rPr>
        <w:t>Self-service signup → provision schema → seed root org node → create first admin → send invite</w:t>
      </w:r>
    </w:p>
    <w:p>
      <w:pPr>
        <w:pStyle w:val="Heading3"/>
        <w:spacing w:before="200" w:after="40"/>
      </w:pPr>
      <w:r>
        <w:rPr>
          <w:rFonts w:ascii="Calibri" w:hAnsi="Calibri"/>
          <w:b/>
          <w:color w:val="18202A"/>
          <w:sz w:val="24"/>
        </w:rPr>
        <w:t>Per-tenant configuration</w:t>
      </w:r>
    </w:p>
    <w:p>
      <w:pPr>
        <w:pStyle w:val="ListBullet"/>
        <w:spacing w:line="312" w:lineRule="auto" w:after="60"/>
      </w:pPr>
      <w:r>
        <w:rPr>
          <w:rFonts w:ascii="Calibri" w:hAnsi="Calibri"/>
          <w:color w:val="18202A"/>
          <w:sz w:val="22"/>
        </w:rPr>
        <w:t>Branding (logo, colors, custom domain)</w:t>
      </w:r>
    </w:p>
    <w:p>
      <w:pPr>
        <w:pStyle w:val="ListBullet"/>
        <w:spacing w:line="312" w:lineRule="auto" w:after="60"/>
      </w:pPr>
      <w:r>
        <w:rPr>
          <w:rFonts w:ascii="Calibri" w:hAnsi="Calibri"/>
          <w:color w:val="18202A"/>
          <w:sz w:val="22"/>
        </w:rPr>
        <w:t>LLM provider keys (tenant brings their own OpenAI / Groq key)</w:t>
      </w:r>
    </w:p>
    <w:p>
      <w:pPr>
        <w:pStyle w:val="ListBullet"/>
        <w:spacing w:line="312" w:lineRule="auto" w:after="60"/>
      </w:pPr>
      <w:r>
        <w:rPr>
          <w:rFonts w:ascii="Calibri" w:hAnsi="Calibri"/>
          <w:color w:val="18202A"/>
          <w:sz w:val="22"/>
        </w:rPr>
        <w:t>Retention policies, classification labels</w:t>
      </w:r>
    </w:p>
    <w:p>
      <w:pPr>
        <w:pStyle w:val="Heading3"/>
        <w:spacing w:before="200" w:after="40"/>
      </w:pPr>
      <w:r>
        <w:rPr>
          <w:rFonts w:ascii="Calibri" w:hAnsi="Calibri"/>
          <w:b/>
          <w:color w:val="18202A"/>
          <w:sz w:val="24"/>
        </w:rPr>
        <w:t>Billing + cross-tenant admin</w:t>
      </w:r>
    </w:p>
    <w:p>
      <w:pPr>
        <w:pStyle w:val="ListBullet"/>
        <w:spacing w:line="312" w:lineRule="auto" w:after="60"/>
      </w:pPr>
      <w:r>
        <w:rPr>
          <w:rFonts w:ascii="Calibri" w:hAnsi="Calibri"/>
          <w:color w:val="18202A"/>
          <w:sz w:val="22"/>
        </w:rPr>
        <w:t>Stripe or Chargebee; metering by document count, seat count, or API calls</w:t>
      </w:r>
    </w:p>
    <w:p>
      <w:pPr>
        <w:pStyle w:val="ListBullet"/>
        <w:spacing w:line="312" w:lineRule="auto" w:after="60"/>
      </w:pPr>
      <w:r>
        <w:rPr>
          <w:rFonts w:ascii="Calibri" w:hAnsi="Calibri"/>
          <w:color w:val="18202A"/>
          <w:sz w:val="22"/>
        </w:rPr>
        <w:t>Super-admin console for Seekra staff: see all tenants, suspend, audit, run migrations</w:t>
      </w:r>
    </w:p>
    <w:p>
      <w:pPr>
        <w:pStyle w:val="ListBullet"/>
        <w:spacing w:line="312" w:lineRule="auto" w:after="60"/>
      </w:pPr>
      <w:r>
        <w:rPr>
          <w:rFonts w:ascii="Calibri" w:hAnsi="Calibri"/>
          <w:color w:val="18202A"/>
          <w:sz w:val="22"/>
        </w:rPr>
        <w:t>Data residency: tenant-pinned region (UAE tenant → UAE datacenter, EU tenant → EU)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4C2991"/>
          <w:sz w:val="28"/>
        </w:rPr>
        <w:t>Why this option</w:t>
      </w:r>
    </w:p>
    <w:p>
      <w:pPr>
        <w:spacing w:before="0" w:after="120" w:line="312" w:lineRule="auto"/>
        <w:jc w:val="both"/>
      </w:pPr>
      <w:r>
        <w:rPr>
          <w:rFonts w:ascii="Calibri" w:hAnsi="Calibri"/>
          <w:b w:val="0"/>
          <w:i w:val="0"/>
          <w:color w:val="18202A"/>
          <w:sz w:val="22"/>
        </w:rPr>
        <w:t>Big architectural lift — every existing query, every cache key, every audit event needs a tenant_id. Demo-able as 'watch me spin up a new tenant in 60 seconds.' Transforms the business model from on-prem licenses to SaaS subscriptions.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4C2991"/>
          <w:sz w:val="28"/>
        </w:rPr>
        <w:t>Why NOT first</w:t>
      </w:r>
    </w:p>
    <w:p>
      <w:pPr>
        <w:spacing w:before="0" w:after="120" w:line="312" w:lineRule="auto"/>
        <w:jc w:val="both"/>
      </w:pPr>
      <w:r>
        <w:rPr>
          <w:rFonts w:ascii="Calibri" w:hAnsi="Calibri"/>
          <w:b w:val="0"/>
          <w:i w:val="0"/>
          <w:color w:val="18202A"/>
          <w:sz w:val="22"/>
        </w:rPr>
        <w:t>It's the biggest architectural lift and only makes sense once you have 3+ customers asking for it. Doing it earlier is premature optimization — you don't yet know what tenant-level config variations you'll need. Wait until customer #3 says 'we want to white-label Seekra for our portfolio companies' and then build exactly what they need.</w:t>
      </w:r>
    </w:p>
    <w:p>
      <w:pPr>
        <w:spacing w:before="0" w:after="120" w:line="312" w:lineRule="auto"/>
        <w:jc w:val="both"/>
      </w:pPr>
      <w:r>
        <w:rPr>
          <w:rFonts w:ascii="Calibri" w:hAnsi="Calibri"/>
          <w:b w:val="0"/>
          <w:i w:val="0"/>
          <w:color w:val="18202A"/>
          <w:sz w:val="22"/>
        </w:rPr>
        <w:t>Buyer signal: 'We want to offer Seekra as a service to our 12 portfolio companies' or 'We're a system integrator and want to resell.'</w:t>
      </w:r>
    </w:p>
    <w:p>
      <w:r>
        <w:br w:type="page"/>
      </w:r>
    </w:p>
    <w:p>
      <w:pPr>
        <w:pStyle w:val="Heading1"/>
        <w:spacing w:before="360" w:after="80"/>
      </w:pPr>
      <w:r>
        <w:rPr>
          <w:rFonts w:ascii="Calibri" w:hAnsi="Calibri"/>
          <w:b/>
          <w:color w:val="4C2991"/>
          <w:sz w:val="40"/>
        </w:rPr>
        <w:t>Option G — Active Directory / SSO Authentication</w:t>
      </w:r>
    </w:p>
    <w:p>
      <w:pPr>
        <w:pBdr>
          <w:bottom w:val="single" w:sz="8" w:space="1" w:color="00A896"/>
        </w:pBdr>
        <w:spacing w:before="0" w:after="160"/>
      </w:pPr>
    </w:p>
    <w:p>
      <w:pPr>
        <w:spacing w:before="0" w:after="120" w:line="312" w:lineRule="auto"/>
        <w:jc w:val="left"/>
      </w:pPr>
      <w:r>
        <w:rPr>
          <w:rFonts w:ascii="Calibri" w:hAnsi="Calibri"/>
          <w:b w:val="0"/>
          <w:i/>
          <w:color w:val="506070"/>
          <w:sz w:val="22"/>
        </w:rPr>
        <w:t>Effort: 2–3 weeks · Demo impact: Medium (login demo) · Strategic value: Table-stakes for enterprise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4C2991"/>
          <w:sz w:val="28"/>
        </w:rPr>
        <w:t>What it sounds like</w:t>
      </w:r>
    </w:p>
    <w:p>
      <w:pPr>
        <w:spacing w:before="0" w:after="120" w:line="312" w:lineRule="auto"/>
        <w:jc w:val="left"/>
      </w:pPr>
      <w:r>
        <w:rPr>
          <w:rFonts w:ascii="Calibri" w:hAnsi="Calibri"/>
          <w:b w:val="0"/>
          <w:i w:val="0"/>
          <w:color w:val="18202A"/>
          <w:sz w:val="22"/>
        </w:rPr>
        <w:t>Let users log in with their corporate AD credentials instead of Seekra-managed passwords.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4C2991"/>
          <w:sz w:val="28"/>
        </w:rPr>
        <w:t>What it actually means (full scope)</w:t>
      </w:r>
    </w:p>
    <w:p>
      <w:pPr>
        <w:pStyle w:val="Heading3"/>
        <w:spacing w:before="200" w:after="40"/>
      </w:pPr>
      <w:r>
        <w:rPr>
          <w:rFonts w:ascii="Calibri" w:hAnsi="Calibri"/>
          <w:b/>
          <w:color w:val="18202A"/>
          <w:sz w:val="24"/>
        </w:rPr>
        <w:t>Protocol choice</w:t>
      </w:r>
    </w:p>
    <w:p>
      <w:pPr>
        <w:spacing w:before="0" w:after="120" w:line="312" w:lineRule="auto"/>
        <w:jc w:val="left"/>
      </w:pPr>
      <w:r>
        <w:rPr>
          <w:rFonts w:ascii="Calibri" w:hAnsi="Calibri"/>
          <w:b w:val="0"/>
          <w:i w:val="0"/>
          <w:color w:val="18202A"/>
          <w:sz w:val="22"/>
        </w:rPr>
        <w:t>SAML 2.0 (Microsoft AD FS, Okta, Azure AD) vs. OIDC (modern Azure AD, Google Workspace, Keycloak). Implement OIDC FIRST — it's the modern standard, simpler, and Azure AD supports it natively. SAML can be a follow-up brief for AD FS on-prem customers.</w:t>
      </w:r>
    </w:p>
    <w:p>
      <w:pPr>
        <w:pStyle w:val="Heading3"/>
        <w:spacing w:before="200" w:after="40"/>
      </w:pPr>
      <w:r>
        <w:rPr>
          <w:rFonts w:ascii="Calibri" w:hAnsi="Calibri"/>
          <w:b/>
          <w:color w:val="18202A"/>
          <w:sz w:val="24"/>
        </w:rPr>
        <w:t>Just-in-time provisioning</w:t>
      </w:r>
    </w:p>
    <w:p>
      <w:pPr>
        <w:pStyle w:val="ListBullet"/>
        <w:spacing w:line="312" w:lineRule="auto" w:after="60"/>
      </w:pPr>
      <w:r>
        <w:rPr>
          <w:rFonts w:ascii="Calibri" w:hAnsi="Calibri"/>
          <w:color w:val="18202A"/>
          <w:sz w:val="22"/>
        </w:rPr>
        <w:t>First SSO login auto-creates the Seekra user row</w:t>
      </w:r>
    </w:p>
    <w:p>
      <w:pPr>
        <w:pStyle w:val="ListBullet"/>
        <w:spacing w:line="312" w:lineRule="auto" w:after="60"/>
      </w:pPr>
      <w:r>
        <w:rPr>
          <w:rFonts w:ascii="Calibri" w:hAnsi="Calibri"/>
          <w:color w:val="18202A"/>
          <w:sz w:val="22"/>
        </w:rPr>
        <w:t>Mapped to a default department + clearance (configurable per IdP)</w:t>
      </w:r>
    </w:p>
    <w:p>
      <w:pPr>
        <w:pStyle w:val="ListBullet"/>
        <w:spacing w:line="312" w:lineRule="auto" w:after="60"/>
      </w:pPr>
      <w:r>
        <w:rPr>
          <w:rFonts w:ascii="Calibri" w:hAnsi="Calibri"/>
          <w:color w:val="18202A"/>
          <w:sz w:val="22"/>
        </w:rPr>
        <w:t>Hash a random unusable password (so local login is impossible for SSO users)</w:t>
      </w:r>
    </w:p>
    <w:p>
      <w:pPr>
        <w:pStyle w:val="Heading3"/>
        <w:spacing w:before="200" w:after="40"/>
      </w:pPr>
      <w:r>
        <w:rPr>
          <w:rFonts w:ascii="Calibri" w:hAnsi="Calibri"/>
          <w:b/>
          <w:color w:val="18202A"/>
          <w:sz w:val="24"/>
        </w:rPr>
        <w:t>Group / role mapping</w:t>
      </w:r>
    </w:p>
    <w:p>
      <w:pPr>
        <w:pStyle w:val="ListBullet"/>
        <w:spacing w:line="312" w:lineRule="auto" w:after="60"/>
      </w:pPr>
      <w:r>
        <w:rPr>
          <w:rFonts w:ascii="Calibri" w:hAnsi="Calibri"/>
          <w:color w:val="18202A"/>
          <w:sz w:val="22"/>
        </w:rPr>
        <w:t>IdP groups → Seekra roles + department memberships (e.g. 'Seekra-Films-Editors' → editor role + Films department)</w:t>
      </w:r>
    </w:p>
    <w:p>
      <w:pPr>
        <w:pStyle w:val="ListBullet"/>
        <w:spacing w:line="312" w:lineRule="auto" w:after="60"/>
      </w:pPr>
      <w:r>
        <w:rPr>
          <w:rFonts w:ascii="Calibri" w:hAnsi="Calibri"/>
          <w:color w:val="18202A"/>
          <w:sz w:val="22"/>
        </w:rPr>
        <w:t>This is the killer feature — zero admin overhead when joining/leaving</w:t>
      </w:r>
    </w:p>
    <w:p>
      <w:pPr>
        <w:pStyle w:val="ListBullet"/>
        <w:spacing w:line="312" w:lineRule="auto" w:after="60"/>
      </w:pPr>
      <w:r>
        <w:rPr>
          <w:rFonts w:ascii="Calibri" w:hAnsi="Calibri"/>
          <w:color w:val="18202A"/>
          <w:sz w:val="22"/>
        </w:rPr>
        <w:t>Highest-privilege wins: if user is in 'Seekra-Admins' and 'Seekra-Viewers', they get admin</w:t>
      </w:r>
    </w:p>
    <w:p>
      <w:pPr>
        <w:pStyle w:val="Heading3"/>
        <w:spacing w:before="200" w:after="40"/>
      </w:pPr>
      <w:r>
        <w:rPr>
          <w:rFonts w:ascii="Calibri" w:hAnsi="Calibri"/>
          <w:b/>
          <w:color w:val="18202A"/>
          <w:sz w:val="24"/>
        </w:rPr>
        <w:t>SCIM provisioning (phase 4)</w:t>
      </w:r>
    </w:p>
    <w:p>
      <w:pPr>
        <w:pStyle w:val="ListBullet"/>
        <w:spacing w:line="312" w:lineRule="auto" w:after="60"/>
      </w:pPr>
      <w:r>
        <w:rPr>
          <w:rFonts w:ascii="Calibri" w:hAnsi="Calibri"/>
          <w:color w:val="18202A"/>
          <w:sz w:val="22"/>
        </w:rPr>
        <w:t>Automatic user create/update/delete from Azure AD</w:t>
      </w:r>
    </w:p>
    <w:p>
      <w:pPr>
        <w:pStyle w:val="ListBullet"/>
        <w:spacing w:line="312" w:lineRule="auto" w:after="60"/>
      </w:pPr>
      <w:r>
        <w:rPr>
          <w:rFonts w:ascii="Calibri" w:hAnsi="Calibri"/>
          <w:color w:val="18202A"/>
          <w:sz w:val="22"/>
        </w:rPr>
        <w:t>HR-driven offboard in Workday → AD → SCIM → Seekra deactivates within minutes — no manual step</w:t>
      </w:r>
    </w:p>
    <w:p>
      <w:pPr>
        <w:pStyle w:val="ListBullet"/>
        <w:spacing w:line="312" w:lineRule="auto" w:after="60"/>
      </w:pPr>
      <w:r>
        <w:rPr>
          <w:rFonts w:ascii="Calibri" w:hAnsi="Calibri"/>
          <w:color w:val="18202A"/>
          <w:sz w:val="22"/>
        </w:rPr>
        <w:t>SCIM 2.0 endpoint at /api/scim/v2 (Users CRUD)</w:t>
      </w:r>
    </w:p>
    <w:p>
      <w:pPr>
        <w:pStyle w:val="Heading3"/>
        <w:spacing w:before="200" w:after="40"/>
      </w:pPr>
      <w:r>
        <w:rPr>
          <w:rFonts w:ascii="Calibri" w:hAnsi="Calibri"/>
          <w:b/>
          <w:color w:val="18202A"/>
          <w:sz w:val="24"/>
        </w:rPr>
        <w:t>Session bridging + multi-IdP</w:t>
      </w:r>
    </w:p>
    <w:p>
      <w:pPr>
        <w:pStyle w:val="ListBullet"/>
        <w:spacing w:line="312" w:lineRule="auto" w:after="60"/>
      </w:pPr>
      <w:r>
        <w:rPr>
          <w:rFonts w:ascii="Calibri" w:hAnsi="Calibri"/>
          <w:color w:val="18202A"/>
          <w:sz w:val="22"/>
        </w:rPr>
        <w:t>SSO session ↔ Seekra JWT; logout propagation (single logout)</w:t>
      </w:r>
    </w:p>
    <w:p>
      <w:pPr>
        <w:pStyle w:val="ListBullet"/>
        <w:spacing w:line="312" w:lineRule="auto" w:after="60"/>
      </w:pPr>
      <w:r>
        <w:rPr>
          <w:rFonts w:ascii="Calibri" w:hAnsi="Calibri"/>
          <w:color w:val="18202A"/>
          <w:sz w:val="22"/>
        </w:rPr>
        <w:t>Support multiple SSO configs per tenant (one for employees, one for contractors)</w:t>
      </w:r>
    </w:p>
    <w:p>
      <w:pPr>
        <w:pStyle w:val="ListBullet"/>
        <w:spacing w:line="312" w:lineRule="auto" w:after="60"/>
      </w:pPr>
      <w:r>
        <w:rPr>
          <w:rFonts w:ascii="Calibri" w:hAnsi="Calibri"/>
          <w:color w:val="18202A"/>
          <w:sz w:val="22"/>
        </w:rPr>
        <w:t>Fallback local login for break-glass admin accounts (default 1 per tenant)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4C2991"/>
          <w:sz w:val="28"/>
        </w:rPr>
        <w:t>Why this option</w:t>
      </w:r>
    </w:p>
    <w:p>
      <w:pPr>
        <w:spacing w:before="0" w:after="120" w:line="312" w:lineRule="auto"/>
        <w:jc w:val="both"/>
      </w:pPr>
      <w:r>
        <w:rPr>
          <w:rFonts w:ascii="Calibri" w:hAnsi="Calibri"/>
          <w:b w:val="0"/>
          <w:i w:val="0"/>
          <w:color w:val="18202A"/>
          <w:sz w:val="22"/>
        </w:rPr>
        <w:t>This is a hard requirement for ~70% of enterprise deals in the Gulf. Without it, IT security review fails. When SSO is wired up, the group-to-role mapping means new hires auto-provision, offboards auto-deactivate — 10x reduction in operational overhead vs. manual user management.</w:t>
      </w:r>
    </w:p>
    <w:p>
      <w:pPr>
        <w:spacing w:before="0" w:after="120" w:line="312" w:lineRule="auto"/>
        <w:jc w:val="both"/>
      </w:pPr>
      <w:r>
        <w:rPr>
          <w:rFonts w:ascii="Calibri" w:hAnsi="Calibri"/>
          <w:b w:val="0"/>
          <w:i w:val="0"/>
          <w:color w:val="18202A"/>
          <w:sz w:val="22"/>
        </w:rPr>
        <w:t>Buyer signal: 'We can't deploy anything that doesn't integrate with our Azure AD' — this is the #1 enterprise procurement gate in the region.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354"/>
            <w:shd w:val="clear" w:color="auto" w:fill="F5F7FA"/>
            <w:tcBorders>
              <w:left w:val="single" w:sz="24" w:color="00A896"/>
              <w:top w:val="single" w:sz="4" w:color="E0E4E8"/>
              <w:bottom w:val="single" w:sz="4" w:color="E0E4E8"/>
              <w:right w:val="single" w:sz="4" w:color="E0E4E8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00A896"/>
                <w:sz w:val="20"/>
              </w:rPr>
              <w:t>BRIEF DRAFTED</w:t>
            </w:r>
          </w:p>
          <w:p>
            <w:pPr>
              <w:spacing w:after="80" w:line="312" w:lineRule="auto"/>
            </w:pPr>
            <w:r>
              <w:rPr>
                <w:rFonts w:ascii="Calibri" w:hAnsi="Calibri"/>
                <w:color w:val="18202A"/>
                <w:sz w:val="21"/>
              </w:rPr>
              <w:t>Brief #33 (AD/SSO) is fully drafted in Brief_33_AD_SSO.md — 6 phases, OIDC + group mapping + SCIM + multi-IdP + single logout. Hand to Kimi after Brief #32 lands.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before="360" w:after="80"/>
      </w:pPr>
      <w:r>
        <w:rPr>
          <w:rFonts w:ascii="Calibri" w:hAnsi="Calibri"/>
          <w:b/>
          <w:color w:val="4C2991"/>
          <w:sz w:val="40"/>
        </w:rPr>
        <w:t>Option H — External Data Connectors + Bulk Folder Ingestion</w:t>
      </w:r>
    </w:p>
    <w:p>
      <w:pPr>
        <w:pBdr>
          <w:bottom w:val="single" w:sz="8" w:space="1" w:color="00A896"/>
        </w:pBdr>
        <w:spacing w:before="0" w:after="160"/>
      </w:pPr>
    </w:p>
    <w:p>
      <w:pPr>
        <w:spacing w:before="0" w:after="120" w:line="312" w:lineRule="auto"/>
        <w:jc w:val="left"/>
      </w:pPr>
      <w:r>
        <w:rPr>
          <w:rFonts w:ascii="Calibri" w:hAnsi="Calibri"/>
          <w:b w:val="0"/>
          <w:i/>
          <w:color w:val="506070"/>
          <w:sz w:val="22"/>
        </w:rPr>
        <w:t>Effort: 3–4 weeks · Demo impact: High (drag folder → instant library) · Strategic value: Critical for onboarding velocity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4C2991"/>
          <w:sz w:val="28"/>
        </w:rPr>
        <w:t>What it sounds like</w:t>
      </w:r>
    </w:p>
    <w:p>
      <w:pPr>
        <w:spacing w:before="0" w:after="120" w:line="312" w:lineRule="auto"/>
        <w:jc w:val="left"/>
      </w:pPr>
      <w:r>
        <w:rPr>
          <w:rFonts w:ascii="Calibri" w:hAnsi="Calibri"/>
          <w:b w:val="0"/>
          <w:i w:val="0"/>
          <w:color w:val="18202A"/>
          <w:sz w:val="22"/>
        </w:rPr>
        <w:t>Pull files from SharePoint / Google Drive / Dropbox / network shares into Seekra automatically.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4C2991"/>
          <w:sz w:val="28"/>
        </w:rPr>
        <w:t>What it actually means (full scope)</w:t>
      </w:r>
    </w:p>
    <w:p>
      <w:pPr>
        <w:pStyle w:val="Heading3"/>
        <w:spacing w:before="200" w:after="40"/>
      </w:pPr>
      <w:r>
        <w:rPr>
          <w:rFonts w:ascii="Calibri" w:hAnsi="Calibri"/>
          <w:b/>
          <w:color w:val="18202A"/>
          <w:sz w:val="24"/>
        </w:rPr>
        <w:t>Connector framework (pluggable adapters)</w:t>
      </w:r>
    </w:p>
    <w:p>
      <w:pPr>
        <w:spacing w:before="0" w:after="120" w:line="312" w:lineRule="auto"/>
        <w:jc w:val="left"/>
      </w:pPr>
      <w:r>
        <w:rPr>
          <w:rFonts w:ascii="Calibri" w:hAnsi="Calibri"/>
          <w:b w:val="0"/>
          <w:i w:val="0"/>
          <w:color w:val="18202A"/>
          <w:sz w:val="22"/>
        </w:rPr>
        <w:t>Each connector implements: list_changes(since) → stream_bytes(file) → infer_scope(file). Initial set:</w:t>
      </w:r>
    </w:p>
    <w:p>
      <w:pPr>
        <w:pStyle w:val="ListBullet"/>
        <w:spacing w:line="312" w:lineRule="auto" w:after="60"/>
      </w:pPr>
      <w:r>
        <w:rPr>
          <w:rFonts w:ascii="Calibri" w:hAnsi="Calibri"/>
          <w:color w:val="18202A"/>
          <w:sz w:val="22"/>
        </w:rPr>
        <w:t>Local/network folder watcher — inotify or polling on /ingest/ mount point (HIGHEST VALUE — easiest demo win)</w:t>
      </w:r>
    </w:p>
    <w:p>
      <w:pPr>
        <w:pStyle w:val="ListBullet"/>
        <w:spacing w:line="312" w:lineRule="auto" w:after="60"/>
      </w:pPr>
      <w:r>
        <w:rPr>
          <w:rFonts w:ascii="Calibri" w:hAnsi="Calibri"/>
          <w:color w:val="18202A"/>
          <w:sz w:val="22"/>
        </w:rPr>
        <w:t>SharePoint / OneDrive (Microsoft Graph API)</w:t>
      </w:r>
    </w:p>
    <w:p>
      <w:pPr>
        <w:pStyle w:val="ListBullet"/>
        <w:spacing w:line="312" w:lineRule="auto" w:after="60"/>
      </w:pPr>
      <w:r>
        <w:rPr>
          <w:rFonts w:ascii="Calibri" w:hAnsi="Calibri"/>
          <w:color w:val="18202A"/>
          <w:sz w:val="22"/>
        </w:rPr>
        <w:t>Google Drive (Drive API v3 with service account)</w:t>
      </w:r>
    </w:p>
    <w:p>
      <w:pPr>
        <w:pStyle w:val="ListBullet"/>
        <w:spacing w:line="312" w:lineRule="auto" w:after="60"/>
      </w:pPr>
      <w:r>
        <w:rPr>
          <w:rFonts w:ascii="Calibri" w:hAnsi="Calibri"/>
          <w:color w:val="18202A"/>
          <w:sz w:val="22"/>
        </w:rPr>
        <w:t>S3 / Azure Blob (already have MinIO client, easy)</w:t>
      </w:r>
    </w:p>
    <w:p>
      <w:pPr>
        <w:pStyle w:val="ListBullet"/>
        <w:spacing w:line="312" w:lineRule="auto" w:after="60"/>
      </w:pPr>
      <w:r>
        <w:rPr>
          <w:rFonts w:ascii="Calibri" w:hAnsi="Calibri"/>
          <w:color w:val="18202A"/>
          <w:sz w:val="22"/>
        </w:rPr>
        <w:t>SMTP / email attachment ingest — forward ingest@{tenant}.seekra.pk → auto-upload</w:t>
      </w:r>
    </w:p>
    <w:p>
      <w:pPr>
        <w:pStyle w:val="Heading3"/>
        <w:spacing w:before="200" w:after="40"/>
      </w:pPr>
      <w:r>
        <w:rPr>
          <w:rFonts w:ascii="Calibri" w:hAnsi="Calibri"/>
          <w:b/>
          <w:color w:val="18202A"/>
          <w:sz w:val="24"/>
        </w:rPr>
        <w:t>Scheduled sync + incremental</w:t>
      </w:r>
    </w:p>
    <w:p>
      <w:pPr>
        <w:pStyle w:val="ListBullet"/>
        <w:spacing w:line="312" w:lineRule="auto" w:after="60"/>
      </w:pPr>
      <w:r>
        <w:rPr>
          <w:rFonts w:ascii="Calibri" w:hAnsi="Calibri"/>
          <w:color w:val="18202A"/>
          <w:sz w:val="22"/>
        </w:rPr>
        <w:t>Cron-style polling per connector (default every 15 min, configurable)</w:t>
      </w:r>
    </w:p>
    <w:p>
      <w:pPr>
        <w:pStyle w:val="ListBullet"/>
        <w:spacing w:line="312" w:lineRule="auto" w:after="60"/>
      </w:pPr>
      <w:r>
        <w:rPr>
          <w:rFonts w:ascii="Calibri" w:hAnsi="Calibri"/>
          <w:color w:val="18202A"/>
          <w:sz w:val="22"/>
        </w:rPr>
        <w:t>Track last_synced_at per connector; only fetch new/modified files; detect deletions</w:t>
      </w:r>
    </w:p>
    <w:p>
      <w:pPr>
        <w:pStyle w:val="ListBullet"/>
        <w:spacing w:line="312" w:lineRule="auto" w:after="60"/>
      </w:pPr>
      <w:r>
        <w:rPr>
          <w:rFonts w:ascii="Calibri" w:hAnsi="Calibri"/>
          <w:color w:val="18202A"/>
          <w:sz w:val="22"/>
        </w:rPr>
        <w:t>Backpressure: pause sync if indexing queue &gt; 1000 items</w:t>
      </w:r>
    </w:p>
    <w:p>
      <w:pPr>
        <w:pStyle w:val="Heading3"/>
        <w:spacing w:before="200" w:after="40"/>
      </w:pPr>
      <w:r>
        <w:rPr>
          <w:rFonts w:ascii="Calibri" w:hAnsi="Calibri"/>
          <w:b/>
          <w:color w:val="18202A"/>
          <w:sz w:val="24"/>
        </w:rPr>
        <w:t>Scope + classification inference</w:t>
      </w:r>
    </w:p>
    <w:p>
      <w:pPr>
        <w:pStyle w:val="ListBullet"/>
        <w:spacing w:line="312" w:lineRule="auto" w:after="60"/>
      </w:pPr>
      <w:r>
        <w:rPr>
          <w:rFonts w:ascii="Calibri" w:hAnsi="Calibri"/>
          <w:color w:val="18202A"/>
          <w:sz w:val="22"/>
        </w:rPr>
        <w:t>When a connector pulls a file, infer scope from the source folder path ('/Films/Production/' → Films · Production team)</w:t>
      </w:r>
    </w:p>
    <w:p>
      <w:pPr>
        <w:pStyle w:val="ListBullet"/>
        <w:spacing w:line="312" w:lineRule="auto" w:after="60"/>
      </w:pPr>
      <w:r>
        <w:rPr>
          <w:rFonts w:ascii="Calibri" w:hAnsi="Calibri"/>
          <w:color w:val="18202A"/>
          <w:sz w:val="22"/>
        </w:rPr>
        <w:t>Classification from filename keywords or per-connector default</w:t>
      </w:r>
    </w:p>
    <w:p>
      <w:pPr>
        <w:pStyle w:val="ListBullet"/>
        <w:spacing w:line="312" w:lineRule="auto" w:after="60"/>
      </w:pPr>
      <w:r>
        <w:rPr>
          <w:rFonts w:ascii="Calibri" w:hAnsi="Calibri"/>
          <w:color w:val="18202A"/>
          <w:sz w:val="22"/>
        </w:rPr>
        <w:t>Per-connector path rules table: glob pattern → (scope_org_id, classification)</w:t>
      </w:r>
    </w:p>
    <w:p>
      <w:pPr>
        <w:pStyle w:val="Heading3"/>
        <w:spacing w:before="200" w:after="40"/>
      </w:pPr>
      <w:r>
        <w:rPr>
          <w:rFonts w:ascii="Calibri" w:hAnsi="Calibri"/>
          <w:b/>
          <w:color w:val="18202A"/>
          <w:sz w:val="24"/>
        </w:rPr>
        <w:t>Conflict resolution</w:t>
      </w:r>
    </w:p>
    <w:p>
      <w:pPr>
        <w:pStyle w:val="ListBullet"/>
        <w:spacing w:line="312" w:lineRule="auto" w:after="60"/>
      </w:pPr>
      <w:r>
        <w:rPr>
          <w:rFonts w:ascii="Calibri" w:hAnsi="Calibri"/>
          <w:color w:val="18202A"/>
          <w:sz w:val="22"/>
        </w:rPr>
        <w:t>Source file modified externally + Seekra doc unchanged → version it (Brief #39)</w:t>
      </w:r>
    </w:p>
    <w:p>
      <w:pPr>
        <w:pStyle w:val="ListBullet"/>
        <w:spacing w:line="312" w:lineRule="auto" w:after="60"/>
      </w:pPr>
      <w:r>
        <w:rPr>
          <w:rFonts w:ascii="Calibri" w:hAnsi="Calibri"/>
          <w:color w:val="18202A"/>
          <w:sz w:val="22"/>
        </w:rPr>
        <w:t>Source modified + Seekra doc also modified → conflict logged, Seekra version preserved (no overwrite)</w:t>
      </w:r>
    </w:p>
    <w:p>
      <w:pPr>
        <w:pStyle w:val="ListBullet"/>
        <w:spacing w:line="312" w:lineRule="auto" w:after="60"/>
      </w:pPr>
      <w:r>
        <w:rPr>
          <w:rFonts w:ascii="Calibri" w:hAnsi="Calibri"/>
          <w:color w:val="18202A"/>
          <w:sz w:val="22"/>
        </w:rPr>
        <w:t>Admin conflict resolution UI: keep Seekra / overwrite / merge (phase 7+)</w:t>
      </w:r>
    </w:p>
    <w:p>
      <w:pPr>
        <w:pStyle w:val="Heading3"/>
        <w:spacing w:before="200" w:after="40"/>
      </w:pPr>
      <w:r>
        <w:rPr>
          <w:rFonts w:ascii="Calibri" w:hAnsi="Calibri"/>
          <w:b/>
          <w:color w:val="18202A"/>
          <w:sz w:val="24"/>
        </w:rPr>
        <w:t>Bulk upload UX</w:t>
      </w:r>
    </w:p>
    <w:p>
      <w:pPr>
        <w:pStyle w:val="ListBullet"/>
        <w:spacing w:line="312" w:lineRule="auto" w:after="60"/>
      </w:pPr>
      <w:r>
        <w:rPr>
          <w:rFonts w:ascii="Calibri" w:hAnsi="Calibri"/>
          <w:color w:val="18202A"/>
          <w:sz w:val="22"/>
        </w:rPr>
        <w:t>Drag-drop multiple files at once (currently upload is one-file-per-request)</w:t>
      </w:r>
    </w:p>
    <w:p>
      <w:pPr>
        <w:pStyle w:val="ListBullet"/>
        <w:spacing w:line="312" w:lineRule="auto" w:after="60"/>
      </w:pPr>
      <w:r>
        <w:rPr>
          <w:rFonts w:ascii="Calibri" w:hAnsi="Calibri"/>
          <w:color w:val="18202A"/>
          <w:sz w:val="22"/>
        </w:rPr>
        <w:t>Per-file progress bars; per-file scope + classification override; retry on failure</w:t>
      </w:r>
    </w:p>
    <w:p>
      <w:pPr>
        <w:pStyle w:val="ListBullet"/>
        <w:spacing w:line="312" w:lineRule="auto" w:after="60"/>
      </w:pPr>
      <w:r>
        <w:rPr>
          <w:rFonts w:ascii="Calibri" w:hAnsi="Calibri"/>
          <w:color w:val="18202A"/>
          <w:sz w:val="22"/>
        </w:rPr>
        <w:t>Folder structure preservation option (recreate source tree inside Seekra)</w:t>
      </w:r>
    </w:p>
    <w:p>
      <w:pPr>
        <w:pStyle w:val="ListBullet"/>
        <w:spacing w:line="312" w:lineRule="auto" w:after="60"/>
      </w:pPr>
      <w:r>
        <w:rPr>
          <w:rFonts w:ascii="Calibri" w:hAnsi="Calibri"/>
          <w:color w:val="18202A"/>
          <w:sz w:val="22"/>
        </w:rPr>
        <w:t>Rate limiting + resume for large folders (10k+ files)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4C2991"/>
          <w:sz w:val="28"/>
        </w:rPr>
        <w:t>Why this option</w:t>
      </w:r>
    </w:p>
    <w:p>
      <w:pPr>
        <w:spacing w:before="0" w:after="120" w:line="312" w:lineRule="auto"/>
        <w:jc w:val="both"/>
      </w:pPr>
      <w:r>
        <w:rPr>
          <w:rFonts w:ascii="Calibri" w:hAnsi="Calibri"/>
          <w:b w:val="0"/>
          <w:i w:val="0"/>
          <w:color w:val="18202A"/>
          <w:sz w:val="22"/>
        </w:rPr>
        <w:t>This is the #1 onboarding blocker. A customer who sees the demo, loves it, then asks 'ok but how do I get my 50,000 SharePoint docs in?' — without connectors, the answer is 'manually, one at a time' and the deal stalls. With connectors, the answer is 'point us at your SharePoint, we'll have it indexed by morning' and the deal closes.</w:t>
      </w:r>
    </w:p>
    <w:p>
      <w:pPr>
        <w:spacing w:before="0" w:after="120" w:line="312" w:lineRule="auto"/>
        <w:jc w:val="both"/>
      </w:pPr>
      <w:r>
        <w:rPr>
          <w:rFonts w:ascii="Calibri" w:hAnsi="Calibri"/>
          <w:b w:val="0"/>
          <w:i w:val="0"/>
          <w:color w:val="18202A"/>
          <w:sz w:val="22"/>
        </w:rPr>
        <w:t>The local folder watcher is the easiest demo win: drop a folder of files on a mounted volume during the demo and watch them appear in Seekra within seconds. Genuinely magical.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354"/>
            <w:shd w:val="clear" w:color="auto" w:fill="F5F7FA"/>
            <w:tcBorders>
              <w:left w:val="single" w:sz="24" w:color="00A896"/>
              <w:top w:val="single" w:sz="4" w:color="E0E4E8"/>
              <w:bottom w:val="single" w:sz="4" w:color="E0E4E8"/>
              <w:right w:val="single" w:sz="4" w:color="E0E4E8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00A896"/>
                <w:sz w:val="20"/>
              </w:rPr>
              <w:t>BRIEF DRAFTED</w:t>
            </w:r>
          </w:p>
          <w:p>
            <w:pPr>
              <w:spacing w:after="80" w:line="312" w:lineRule="auto"/>
            </w:pPr>
            <w:r>
              <w:rPr>
                <w:rFonts w:ascii="Calibri" w:hAnsi="Calibri"/>
                <w:color w:val="18202A"/>
                <w:sz w:val="21"/>
              </w:rPr>
              <w:t>Brief #32 (Data Connectors) is fully drafted in Brief_32_Data_Connectors.md — 6 phases covering connector framework, local folder watcher, SharePoint, Google Drive, SMTP ingest, and conflict resolution. Hand to Kimi first.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before="360" w:after="80"/>
      </w:pPr>
      <w:r>
        <w:rPr>
          <w:rFonts w:ascii="Calibri" w:hAnsi="Calibri"/>
          <w:b/>
          <w:color w:val="4C2991"/>
          <w:sz w:val="40"/>
        </w:rPr>
        <w:t>Comparison + Recommended Sequence</w:t>
      </w:r>
    </w:p>
    <w:p>
      <w:pPr>
        <w:pBdr>
          <w:bottom w:val="single" w:sz="8" w:space="1" w:color="00A896"/>
        </w:pBdr>
        <w:spacing w:before="0" w:after="160"/>
      </w:pPr>
    </w:p>
    <w:p>
      <w:pPr>
        <w:pStyle w:val="Heading2"/>
        <w:spacing w:before="280" w:after="80"/>
      </w:pPr>
      <w:r>
        <w:rPr>
          <w:rFonts w:ascii="Calibri" w:hAnsi="Calibri"/>
          <w:b/>
          <w:color w:val="4C2991"/>
          <w:sz w:val="28"/>
        </w:rPr>
        <w:t>Side-by-side comparison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984"/>
            <w:shd w:val="clear" w:color="auto" w:fill="4C2991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Dimension</w:t>
            </w:r>
          </w:p>
        </w:tc>
        <w:tc>
          <w:tcPr>
            <w:tcW w:type="dxa" w:w="1701"/>
            <w:shd w:val="clear" w:color="auto" w:fill="4C2991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E — Hardening</w:t>
            </w:r>
          </w:p>
        </w:tc>
        <w:tc>
          <w:tcPr>
            <w:tcW w:type="dxa" w:w="1701"/>
            <w:shd w:val="clear" w:color="auto" w:fill="4C2991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F — Multi-Tenant</w:t>
            </w:r>
          </w:p>
        </w:tc>
        <w:tc>
          <w:tcPr>
            <w:tcW w:type="dxa" w:w="1701"/>
            <w:shd w:val="clear" w:color="auto" w:fill="4C2991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G — AD/SSO</w:t>
            </w:r>
          </w:p>
        </w:tc>
        <w:tc>
          <w:tcPr>
            <w:tcW w:type="dxa" w:w="1701"/>
            <w:shd w:val="clear" w:color="auto" w:fill="4C2991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H — Connectors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before="40" w:after="40" w:line="288" w:lineRule="auto"/>
            </w:pPr>
            <w:r>
              <w:rPr>
                <w:rFonts w:ascii="Calibri" w:hAnsi="Calibri"/>
                <w:color w:val="18202A"/>
                <w:sz w:val="19"/>
              </w:rPr>
              <w:t>Effort</w:t>
            </w:r>
          </w:p>
        </w:tc>
        <w:tc>
          <w:tcPr>
            <w:tcW w:type="dxa" w:w="1701"/>
            <w:vAlign w:val="top"/>
          </w:tcPr>
          <w:p>
            <w:pPr>
              <w:spacing w:before="40" w:after="40" w:line="288" w:lineRule="auto"/>
            </w:pPr>
            <w:r>
              <w:rPr>
                <w:rFonts w:ascii="Calibri" w:hAnsi="Calibri"/>
                <w:color w:val="18202A"/>
                <w:sz w:val="19"/>
              </w:rPr>
              <w:t>3–4 wks</w:t>
            </w:r>
          </w:p>
        </w:tc>
        <w:tc>
          <w:tcPr>
            <w:tcW w:type="dxa" w:w="1701"/>
            <w:vAlign w:val="top"/>
          </w:tcPr>
          <w:p>
            <w:pPr>
              <w:spacing w:before="40" w:after="40" w:line="288" w:lineRule="auto"/>
            </w:pPr>
            <w:r>
              <w:rPr>
                <w:rFonts w:ascii="Calibri" w:hAnsi="Calibri"/>
                <w:color w:val="18202A"/>
                <w:sz w:val="19"/>
              </w:rPr>
              <w:t>4–6 wks</w:t>
            </w:r>
          </w:p>
        </w:tc>
        <w:tc>
          <w:tcPr>
            <w:tcW w:type="dxa" w:w="1701"/>
            <w:vAlign w:val="top"/>
          </w:tcPr>
          <w:p>
            <w:pPr>
              <w:spacing w:before="40" w:after="40" w:line="288" w:lineRule="auto"/>
            </w:pPr>
            <w:r>
              <w:rPr>
                <w:rFonts w:ascii="Calibri" w:hAnsi="Calibri"/>
                <w:color w:val="18202A"/>
                <w:sz w:val="19"/>
              </w:rPr>
              <w:t>2–3 wks</w:t>
            </w:r>
          </w:p>
        </w:tc>
        <w:tc>
          <w:tcPr>
            <w:tcW w:type="dxa" w:w="1701"/>
            <w:vAlign w:val="top"/>
          </w:tcPr>
          <w:p>
            <w:pPr>
              <w:spacing w:before="40" w:after="40" w:line="288" w:lineRule="auto"/>
            </w:pPr>
            <w:r>
              <w:rPr>
                <w:rFonts w:ascii="Calibri" w:hAnsi="Calibri"/>
                <w:color w:val="18202A"/>
                <w:sz w:val="19"/>
              </w:rPr>
              <w:t>3–4 wks</w:t>
            </w:r>
          </w:p>
        </w:tc>
      </w:tr>
      <w:tr>
        <w:tc>
          <w:tcPr>
            <w:tcW w:type="dxa" w:w="1984"/>
            <w:shd w:val="clear" w:color="auto" w:fill="F5F7FA"/>
            <w:vAlign w:val="top"/>
          </w:tcPr>
          <w:p>
            <w:pPr>
              <w:spacing w:before="40" w:after="40" w:line="288" w:lineRule="auto"/>
            </w:pPr>
            <w:r>
              <w:rPr>
                <w:rFonts w:ascii="Calibri" w:hAnsi="Calibri"/>
                <w:color w:val="18202A"/>
                <w:sz w:val="19"/>
              </w:rPr>
              <w:t>Demo impact</w:t>
            </w:r>
          </w:p>
        </w:tc>
        <w:tc>
          <w:tcPr>
            <w:tcW w:type="dxa" w:w="1701"/>
            <w:shd w:val="clear" w:color="auto" w:fill="F5F7FA"/>
            <w:vAlign w:val="top"/>
          </w:tcPr>
          <w:p>
            <w:pPr>
              <w:spacing w:before="40" w:after="40" w:line="288" w:lineRule="auto"/>
            </w:pPr>
            <w:r>
              <w:rPr>
                <w:rFonts w:ascii="Calibri" w:hAnsi="Calibri"/>
                <w:color w:val="18202A"/>
                <w:sz w:val="19"/>
              </w:rPr>
              <w:t>Low</w:t>
            </w:r>
          </w:p>
        </w:tc>
        <w:tc>
          <w:tcPr>
            <w:tcW w:type="dxa" w:w="1701"/>
            <w:shd w:val="clear" w:color="auto" w:fill="F5F7FA"/>
            <w:vAlign w:val="top"/>
          </w:tcPr>
          <w:p>
            <w:pPr>
              <w:spacing w:before="40" w:after="40" w:line="288" w:lineRule="auto"/>
            </w:pPr>
            <w:r>
              <w:rPr>
                <w:rFonts w:ascii="Calibri" w:hAnsi="Calibri"/>
                <w:color w:val="18202A"/>
                <w:sz w:val="19"/>
              </w:rPr>
              <w:t>High</w:t>
            </w:r>
          </w:p>
        </w:tc>
        <w:tc>
          <w:tcPr>
            <w:tcW w:type="dxa" w:w="1701"/>
            <w:shd w:val="clear" w:color="auto" w:fill="F5F7FA"/>
            <w:vAlign w:val="top"/>
          </w:tcPr>
          <w:p>
            <w:pPr>
              <w:spacing w:before="40" w:after="40" w:line="288" w:lineRule="auto"/>
            </w:pPr>
            <w:r>
              <w:rPr>
                <w:rFonts w:ascii="Calibri" w:hAnsi="Calibri"/>
                <w:color w:val="18202A"/>
                <w:sz w:val="19"/>
              </w:rPr>
              <w:t>Medium</w:t>
            </w:r>
          </w:p>
        </w:tc>
        <w:tc>
          <w:tcPr>
            <w:tcW w:type="dxa" w:w="1701"/>
            <w:shd w:val="clear" w:color="auto" w:fill="F5F7FA"/>
            <w:vAlign w:val="top"/>
          </w:tcPr>
          <w:p>
            <w:pPr>
              <w:spacing w:before="40" w:after="40" w:line="288" w:lineRule="auto"/>
            </w:pPr>
            <w:r>
              <w:rPr>
                <w:rFonts w:ascii="Calibri" w:hAnsi="Calibri"/>
                <w:color w:val="18202A"/>
                <w:sz w:val="19"/>
              </w:rPr>
              <w:t>High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before="40" w:after="40" w:line="288" w:lineRule="auto"/>
            </w:pPr>
            <w:r>
              <w:rPr>
                <w:rFonts w:ascii="Calibri" w:hAnsi="Calibri"/>
                <w:color w:val="18202A"/>
                <w:sz w:val="19"/>
              </w:rPr>
              <w:t>Deal unblock</w:t>
            </w:r>
          </w:p>
        </w:tc>
        <w:tc>
          <w:tcPr>
            <w:tcW w:type="dxa" w:w="1701"/>
            <w:vAlign w:val="top"/>
          </w:tcPr>
          <w:p>
            <w:pPr>
              <w:spacing w:before="40" w:after="40" w:line="288" w:lineRule="auto"/>
            </w:pPr>
            <w:r>
              <w:rPr>
                <w:rFonts w:ascii="Calibri" w:hAnsi="Calibri"/>
                <w:color w:val="18202A"/>
                <w:sz w:val="19"/>
              </w:rPr>
              <w:t>Procurement</w:t>
            </w:r>
          </w:p>
        </w:tc>
        <w:tc>
          <w:tcPr>
            <w:tcW w:type="dxa" w:w="1701"/>
            <w:vAlign w:val="top"/>
          </w:tcPr>
          <w:p>
            <w:pPr>
              <w:spacing w:before="40" w:after="40" w:line="288" w:lineRule="auto"/>
            </w:pPr>
            <w:r>
              <w:rPr>
                <w:rFonts w:ascii="Calibri" w:hAnsi="Calibri"/>
                <w:color w:val="18202A"/>
                <w:sz w:val="19"/>
              </w:rPr>
              <w:t>Integrators</w:t>
            </w:r>
          </w:p>
        </w:tc>
        <w:tc>
          <w:tcPr>
            <w:tcW w:type="dxa" w:w="1701"/>
            <w:vAlign w:val="top"/>
          </w:tcPr>
          <w:p>
            <w:pPr>
              <w:spacing w:before="40" w:after="40" w:line="288" w:lineRule="auto"/>
            </w:pPr>
            <w:r>
              <w:rPr>
                <w:rFonts w:ascii="Calibri" w:hAnsi="Calibri"/>
                <w:color w:val="18202A"/>
                <w:sz w:val="19"/>
              </w:rPr>
              <w:t>~70% of deals</w:t>
            </w:r>
          </w:p>
        </w:tc>
        <w:tc>
          <w:tcPr>
            <w:tcW w:type="dxa" w:w="1701"/>
            <w:vAlign w:val="top"/>
          </w:tcPr>
          <w:p>
            <w:pPr>
              <w:spacing w:before="40" w:after="40" w:line="288" w:lineRule="auto"/>
            </w:pPr>
            <w:r>
              <w:rPr>
                <w:rFonts w:ascii="Calibri" w:hAnsi="Calibri"/>
                <w:color w:val="18202A"/>
                <w:sz w:val="19"/>
              </w:rPr>
              <w:t>Any w/ corpus</w:t>
            </w:r>
          </w:p>
        </w:tc>
      </w:tr>
      <w:tr>
        <w:tc>
          <w:tcPr>
            <w:tcW w:type="dxa" w:w="1984"/>
            <w:shd w:val="clear" w:color="auto" w:fill="F5F7FA"/>
            <w:vAlign w:val="top"/>
          </w:tcPr>
          <w:p>
            <w:pPr>
              <w:spacing w:before="40" w:after="40" w:line="288" w:lineRule="auto"/>
            </w:pPr>
            <w:r>
              <w:rPr>
                <w:rFonts w:ascii="Calibri" w:hAnsi="Calibri"/>
                <w:color w:val="18202A"/>
                <w:sz w:val="19"/>
              </w:rPr>
              <w:t>Architectural lift</w:t>
            </w:r>
          </w:p>
        </w:tc>
        <w:tc>
          <w:tcPr>
            <w:tcW w:type="dxa" w:w="1701"/>
            <w:shd w:val="clear" w:color="auto" w:fill="F5F7FA"/>
            <w:vAlign w:val="top"/>
          </w:tcPr>
          <w:p>
            <w:pPr>
              <w:spacing w:before="40" w:after="40" w:line="288" w:lineRule="auto"/>
            </w:pPr>
            <w:r>
              <w:rPr>
                <w:rFonts w:ascii="Calibri" w:hAnsi="Calibri"/>
                <w:color w:val="18202A"/>
                <w:sz w:val="19"/>
              </w:rPr>
              <w:t>Low</w:t>
            </w:r>
          </w:p>
        </w:tc>
        <w:tc>
          <w:tcPr>
            <w:tcW w:type="dxa" w:w="1701"/>
            <w:shd w:val="clear" w:color="auto" w:fill="F5F7FA"/>
            <w:vAlign w:val="top"/>
          </w:tcPr>
          <w:p>
            <w:pPr>
              <w:spacing w:before="40" w:after="40" w:line="288" w:lineRule="auto"/>
            </w:pPr>
            <w:r>
              <w:rPr>
                <w:rFonts w:ascii="Calibri" w:hAnsi="Calibri"/>
                <w:color w:val="18202A"/>
                <w:sz w:val="19"/>
              </w:rPr>
              <w:t>High</w:t>
            </w:r>
          </w:p>
        </w:tc>
        <w:tc>
          <w:tcPr>
            <w:tcW w:type="dxa" w:w="1701"/>
            <w:shd w:val="clear" w:color="auto" w:fill="F5F7FA"/>
            <w:vAlign w:val="top"/>
          </w:tcPr>
          <w:p>
            <w:pPr>
              <w:spacing w:before="40" w:after="40" w:line="288" w:lineRule="auto"/>
            </w:pPr>
            <w:r>
              <w:rPr>
                <w:rFonts w:ascii="Calibri" w:hAnsi="Calibri"/>
                <w:color w:val="18202A"/>
                <w:sz w:val="19"/>
              </w:rPr>
              <w:t>Medium</w:t>
            </w:r>
          </w:p>
        </w:tc>
        <w:tc>
          <w:tcPr>
            <w:tcW w:type="dxa" w:w="1701"/>
            <w:shd w:val="clear" w:color="auto" w:fill="F5F7FA"/>
            <w:vAlign w:val="top"/>
          </w:tcPr>
          <w:p>
            <w:pPr>
              <w:spacing w:before="40" w:after="40" w:line="288" w:lineRule="auto"/>
            </w:pPr>
            <w:r>
              <w:rPr>
                <w:rFonts w:ascii="Calibri" w:hAnsi="Calibri"/>
                <w:color w:val="18202A"/>
                <w:sz w:val="19"/>
              </w:rPr>
              <w:t>Medium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before="40" w:after="40" w:line="288" w:lineRule="auto"/>
            </w:pPr>
            <w:r>
              <w:rPr>
                <w:rFonts w:ascii="Calibri" w:hAnsi="Calibri"/>
                <w:color w:val="18202A"/>
                <w:sz w:val="19"/>
              </w:rPr>
              <w:t>Demo moment</w:t>
            </w:r>
          </w:p>
        </w:tc>
        <w:tc>
          <w:tcPr>
            <w:tcW w:type="dxa" w:w="1701"/>
            <w:vAlign w:val="top"/>
          </w:tcPr>
          <w:p>
            <w:pPr>
              <w:spacing w:before="40" w:after="40" w:line="288" w:lineRule="auto"/>
            </w:pPr>
            <w:r>
              <w:rPr>
                <w:rFonts w:ascii="Calibri" w:hAnsi="Calibri"/>
                <w:color w:val="18202A"/>
                <w:sz w:val="19"/>
              </w:rPr>
              <w:t>—</w:t>
            </w:r>
          </w:p>
        </w:tc>
        <w:tc>
          <w:tcPr>
            <w:tcW w:type="dxa" w:w="1701"/>
            <w:vAlign w:val="top"/>
          </w:tcPr>
          <w:p>
            <w:pPr>
              <w:spacing w:before="40" w:after="40" w:line="288" w:lineRule="auto"/>
            </w:pPr>
            <w:r>
              <w:rPr>
                <w:rFonts w:ascii="Calibri" w:hAnsi="Calibri"/>
                <w:color w:val="18202A"/>
                <w:sz w:val="19"/>
              </w:rPr>
              <w:t>Spin up tenant</w:t>
            </w:r>
          </w:p>
        </w:tc>
        <w:tc>
          <w:tcPr>
            <w:tcW w:type="dxa" w:w="1701"/>
            <w:vAlign w:val="top"/>
          </w:tcPr>
          <w:p>
            <w:pPr>
              <w:spacing w:before="40" w:after="40" w:line="288" w:lineRule="auto"/>
            </w:pPr>
            <w:r>
              <w:rPr>
                <w:rFonts w:ascii="Calibri" w:hAnsi="Calibri"/>
                <w:color w:val="18202A"/>
                <w:sz w:val="19"/>
              </w:rPr>
              <w:t>Login via Azure AD</w:t>
            </w:r>
          </w:p>
        </w:tc>
        <w:tc>
          <w:tcPr>
            <w:tcW w:type="dxa" w:w="1701"/>
            <w:vAlign w:val="top"/>
          </w:tcPr>
          <w:p>
            <w:pPr>
              <w:spacing w:before="40" w:after="40" w:line="288" w:lineRule="auto"/>
            </w:pPr>
            <w:r>
              <w:rPr>
                <w:rFonts w:ascii="Calibri" w:hAnsi="Calibri"/>
                <w:color w:val="18202A"/>
                <w:sz w:val="19"/>
              </w:rPr>
              <w:t>Drop folder → instant library</w:t>
            </w:r>
          </w:p>
        </w:tc>
      </w:tr>
      <w:tr>
        <w:tc>
          <w:tcPr>
            <w:tcW w:type="dxa" w:w="1984"/>
            <w:shd w:val="clear" w:color="auto" w:fill="F5F7FA"/>
            <w:vAlign w:val="top"/>
          </w:tcPr>
          <w:p>
            <w:pPr>
              <w:spacing w:before="40" w:after="40" w:line="288" w:lineRule="auto"/>
            </w:pPr>
            <w:r>
              <w:rPr>
                <w:rFonts w:ascii="Calibri" w:hAnsi="Calibri"/>
                <w:color w:val="18202A"/>
                <w:sz w:val="19"/>
              </w:rPr>
              <w:t>Strategic value</w:t>
            </w:r>
          </w:p>
        </w:tc>
        <w:tc>
          <w:tcPr>
            <w:tcW w:type="dxa" w:w="1701"/>
            <w:shd w:val="clear" w:color="auto" w:fill="F5F7FA"/>
            <w:vAlign w:val="top"/>
          </w:tcPr>
          <w:p>
            <w:pPr>
              <w:spacing w:before="40" w:after="40" w:line="288" w:lineRule="auto"/>
            </w:pPr>
            <w:r>
              <w:rPr>
                <w:rFonts w:ascii="Calibri" w:hAnsi="Calibri"/>
                <w:color w:val="18202A"/>
                <w:sz w:val="19"/>
              </w:rPr>
              <w:t>Foundational</w:t>
            </w:r>
          </w:p>
        </w:tc>
        <w:tc>
          <w:tcPr>
            <w:tcW w:type="dxa" w:w="1701"/>
            <w:shd w:val="clear" w:color="auto" w:fill="F5F7FA"/>
            <w:vAlign w:val="top"/>
          </w:tcPr>
          <w:p>
            <w:pPr>
              <w:spacing w:before="40" w:after="40" w:line="288" w:lineRule="auto"/>
            </w:pPr>
            <w:r>
              <w:rPr>
                <w:rFonts w:ascii="Calibri" w:hAnsi="Calibri"/>
                <w:color w:val="18202A"/>
                <w:sz w:val="19"/>
              </w:rPr>
              <w:t>Business model</w:t>
            </w:r>
          </w:p>
        </w:tc>
        <w:tc>
          <w:tcPr>
            <w:tcW w:type="dxa" w:w="1701"/>
            <w:shd w:val="clear" w:color="auto" w:fill="F5F7FA"/>
            <w:vAlign w:val="top"/>
          </w:tcPr>
          <w:p>
            <w:pPr>
              <w:spacing w:before="40" w:after="40" w:line="288" w:lineRule="auto"/>
            </w:pPr>
            <w:r>
              <w:rPr>
                <w:rFonts w:ascii="Calibri" w:hAnsi="Calibri"/>
                <w:color w:val="18202A"/>
                <w:sz w:val="19"/>
              </w:rPr>
              <w:t>Table-stakes</w:t>
            </w:r>
          </w:p>
        </w:tc>
        <w:tc>
          <w:tcPr>
            <w:tcW w:type="dxa" w:w="1701"/>
            <w:shd w:val="clear" w:color="auto" w:fill="F5F7FA"/>
            <w:vAlign w:val="top"/>
          </w:tcPr>
          <w:p>
            <w:pPr>
              <w:spacing w:before="40" w:after="40" w:line="288" w:lineRule="auto"/>
            </w:pPr>
            <w:r>
              <w:rPr>
                <w:rFonts w:ascii="Calibri" w:hAnsi="Calibri"/>
                <w:color w:val="18202A"/>
                <w:sz w:val="19"/>
              </w:rPr>
              <w:t>Onboarding velocity</w:t>
            </w:r>
          </w:p>
        </w:tc>
      </w:tr>
    </w:tbl>
    <w:p>
      <w:pPr>
        <w:spacing w:after="120"/>
      </w:pPr>
    </w:p>
    <w:p>
      <w:pPr>
        <w:pStyle w:val="Heading2"/>
        <w:spacing w:before="280" w:after="80"/>
      </w:pPr>
      <w:r>
        <w:rPr>
          <w:rFonts w:ascii="Calibri" w:hAnsi="Calibri"/>
          <w:b/>
          <w:color w:val="4C2991"/>
          <w:sz w:val="28"/>
        </w:rPr>
        <w:t>Recommended sequence (single stream)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354"/>
            <w:shd w:val="clear" w:color="auto" w:fill="F5F7FA"/>
            <w:tcBorders>
              <w:left w:val="single" w:sz="24" w:color="00A896"/>
              <w:top w:val="single" w:sz="4" w:color="E0E4E8"/>
              <w:bottom w:val="single" w:sz="4" w:color="E0E4E8"/>
              <w:right w:val="single" w:sz="4" w:color="E0E4E8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00A896"/>
                <w:sz w:val="20"/>
              </w:rPr>
              <w:t>PHASE 1 (Weeks 1–4)</w:t>
            </w:r>
          </w:p>
          <w:p>
            <w:pPr>
              <w:spacing w:after="80" w:line="312" w:lineRule="auto"/>
            </w:pPr>
            <w:r>
              <w:rPr>
                <w:rFonts w:ascii="Calibri" w:hAnsi="Calibri"/>
                <w:color w:val="18202A"/>
                <w:sz w:val="21"/>
              </w:rPr>
              <w:t>Option H — Data Connectors + Bulk Ingestion. Brief #32 drafted. Highest-leverage for closing deals. Local-folder-watcher is a killer demo moment.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354"/>
            <w:shd w:val="clear" w:color="auto" w:fill="F5F7FA"/>
            <w:tcBorders>
              <w:left w:val="single" w:sz="24" w:color="00A896"/>
              <w:top w:val="single" w:sz="4" w:color="E0E4E8"/>
              <w:bottom w:val="single" w:sz="4" w:color="E0E4E8"/>
              <w:right w:val="single" w:sz="4" w:color="E0E4E8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00A896"/>
                <w:sz w:val="20"/>
              </w:rPr>
              <w:t>PHASE 2 (Weeks 5–7)</w:t>
            </w:r>
          </w:p>
          <w:p>
            <w:pPr>
              <w:spacing w:after="80" w:line="312" w:lineRule="auto"/>
            </w:pPr>
            <w:r>
              <w:rPr>
                <w:rFonts w:ascii="Calibri" w:hAnsi="Calibri"/>
                <w:color w:val="18202A"/>
                <w:sz w:val="21"/>
              </w:rPr>
              <w:t>Option G — AD / SSO. Brief #33 drafted. Table-stakes for enterprise. Once customers can ingest content, SSO is the next procurement gate.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354"/>
            <w:shd w:val="clear" w:color="auto" w:fill="F5F7FA"/>
            <w:tcBorders>
              <w:left w:val="single" w:sz="24" w:color="00A896"/>
              <w:top w:val="single" w:sz="4" w:color="E0E4E8"/>
              <w:bottom w:val="single" w:sz="4" w:color="E0E4E8"/>
              <w:right w:val="single" w:sz="4" w:color="E0E4E8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00A896"/>
                <w:sz w:val="20"/>
              </w:rPr>
              <w:t>PHASE 3 (Weeks 8–11)</w:t>
            </w:r>
          </w:p>
          <w:p>
            <w:pPr>
              <w:spacing w:after="80" w:line="312" w:lineRule="auto"/>
            </w:pPr>
            <w:r>
              <w:rPr>
                <w:rFonts w:ascii="Calibri" w:hAnsi="Calibri"/>
                <w:color w:val="18202A"/>
                <w:sz w:val="21"/>
              </w:rPr>
              <w:t>Option E — Production Hardening. Once you have real customers with real load, do the reliability work. Less demo-able but unblocks the SLA conversation.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354"/>
            <w:shd w:val="clear" w:color="auto" w:fill="F5F7FA"/>
            <w:tcBorders>
              <w:left w:val="single" w:sz="24" w:color="00A896"/>
              <w:top w:val="single" w:sz="4" w:color="E0E4E8"/>
              <w:bottom w:val="single" w:sz="4" w:color="E0E4E8"/>
              <w:right w:val="single" w:sz="4" w:color="E0E4E8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00A896"/>
                <w:sz w:val="20"/>
              </w:rPr>
              <w:t>PHASE 4 (Weeks 12–17)</w:t>
            </w:r>
          </w:p>
          <w:p>
            <w:pPr>
              <w:spacing w:after="80" w:line="312" w:lineRule="auto"/>
            </w:pPr>
            <w:r>
              <w:rPr>
                <w:rFonts w:ascii="Calibri" w:hAnsi="Calibri"/>
                <w:color w:val="18202A"/>
                <w:sz w:val="21"/>
              </w:rPr>
              <w:t>Option F — Multi-Tenant SaaS. Defer until 3+ customers ask for white-label. The biggest architectural lift — only worth doing once you know exactly what tenant-level config variations you need.</w:t>
            </w:r>
          </w:p>
        </w:tc>
      </w:tr>
    </w:tbl>
    <w:p>
      <w:pPr>
        <w:spacing w:after="120"/>
      </w:pPr>
    </w:p>
    <w:p>
      <w:pPr>
        <w:pStyle w:val="Heading2"/>
        <w:spacing w:before="280" w:after="80"/>
      </w:pPr>
      <w:r>
        <w:rPr>
          <w:rFonts w:ascii="Calibri" w:hAnsi="Calibri"/>
          <w:b/>
          <w:color w:val="4C2991"/>
          <w:sz w:val="28"/>
        </w:rPr>
        <w:t>Alternative: parallel streams (faster)</w:t>
      </w:r>
    </w:p>
    <w:p>
      <w:pPr>
        <w:spacing w:before="0" w:after="120" w:line="312" w:lineRule="auto"/>
        <w:jc w:val="left"/>
      </w:pPr>
      <w:r>
        <w:rPr>
          <w:rFonts w:ascii="Calibri" w:hAnsi="Calibri"/>
          <w:b w:val="0"/>
          <w:i w:val="0"/>
          <w:color w:val="18202A"/>
          <w:sz w:val="22"/>
        </w:rPr>
        <w:t>If you have capacity to run two streams (Kimi on one, you on the other), H and G can ship in parallel in ~3 weeks instead of 5–6 sequential: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417"/>
            <w:shd w:val="clear" w:color="auto" w:fill="4C2991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Stream</w:t>
            </w:r>
          </w:p>
        </w:tc>
        <w:tc>
          <w:tcPr>
            <w:tcW w:type="dxa" w:w="1417"/>
            <w:shd w:val="clear" w:color="auto" w:fill="4C2991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Owner</w:t>
            </w:r>
          </w:p>
        </w:tc>
        <w:tc>
          <w:tcPr>
            <w:tcW w:type="dxa" w:w="3118"/>
            <w:shd w:val="clear" w:color="auto" w:fill="4C2991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Brief</w:t>
            </w:r>
          </w:p>
        </w:tc>
        <w:tc>
          <w:tcPr>
            <w:tcW w:type="dxa" w:w="1417"/>
            <w:shd w:val="clear" w:color="auto" w:fill="4C2991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1701"/>
            <w:shd w:val="clear" w:color="auto" w:fill="4C2991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Dependencies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before="40" w:after="40" w:line="288" w:lineRule="auto"/>
            </w:pPr>
            <w:r>
              <w:rPr>
                <w:rFonts w:ascii="Calibri" w:hAnsi="Calibri"/>
                <w:color w:val="18202A"/>
                <w:sz w:val="19"/>
              </w:rPr>
              <w:t>Stream 1</w:t>
            </w:r>
          </w:p>
        </w:tc>
        <w:tc>
          <w:tcPr>
            <w:tcW w:type="dxa" w:w="1417"/>
            <w:vAlign w:val="top"/>
          </w:tcPr>
          <w:p>
            <w:pPr>
              <w:spacing w:before="40" w:after="40" w:line="288" w:lineRule="auto"/>
            </w:pPr>
            <w:r>
              <w:rPr>
                <w:rFonts w:ascii="Calibri" w:hAnsi="Calibri"/>
                <w:color w:val="18202A"/>
                <w:sz w:val="19"/>
              </w:rPr>
              <w:t>Kimi</w:t>
            </w:r>
          </w:p>
        </w:tc>
        <w:tc>
          <w:tcPr>
            <w:tcW w:type="dxa" w:w="3118"/>
            <w:vAlign w:val="top"/>
          </w:tcPr>
          <w:p>
            <w:pPr>
              <w:spacing w:before="40" w:after="40" w:line="288" w:lineRule="auto"/>
            </w:pPr>
            <w:r>
              <w:rPr>
                <w:rFonts w:ascii="Calibri" w:hAnsi="Calibri"/>
                <w:color w:val="18202A"/>
                <w:sz w:val="19"/>
              </w:rPr>
              <w:t>Brief #32 — Data Connectors</w:t>
            </w:r>
          </w:p>
        </w:tc>
        <w:tc>
          <w:tcPr>
            <w:tcW w:type="dxa" w:w="1417"/>
            <w:vAlign w:val="top"/>
          </w:tcPr>
          <w:p>
            <w:pPr>
              <w:spacing w:before="40" w:after="40" w:line="288" w:lineRule="auto"/>
            </w:pPr>
            <w:r>
              <w:rPr>
                <w:rFonts w:ascii="Calibri" w:hAnsi="Calibri"/>
                <w:color w:val="18202A"/>
                <w:sz w:val="19"/>
              </w:rPr>
              <w:t>3–4 wks</w:t>
            </w:r>
          </w:p>
        </w:tc>
        <w:tc>
          <w:tcPr>
            <w:tcW w:type="dxa" w:w="1701"/>
            <w:vAlign w:val="top"/>
          </w:tcPr>
          <w:p>
            <w:pPr>
              <w:spacing w:before="40" w:after="40" w:line="288" w:lineRule="auto"/>
            </w:pPr>
            <w:r>
              <w:rPr>
                <w:rFonts w:ascii="Calibri" w:hAnsi="Calibri"/>
                <w:color w:val="18202A"/>
                <w:sz w:val="19"/>
              </w:rPr>
              <w:t>Brief #17 (org tree) ✓</w:t>
            </w:r>
          </w:p>
        </w:tc>
      </w:tr>
      <w:tr>
        <w:tc>
          <w:tcPr>
            <w:tcW w:type="dxa" w:w="1417"/>
            <w:shd w:val="clear" w:color="auto" w:fill="F5F7FA"/>
            <w:vAlign w:val="top"/>
          </w:tcPr>
          <w:p>
            <w:pPr>
              <w:spacing w:before="40" w:after="40" w:line="288" w:lineRule="auto"/>
            </w:pPr>
            <w:r>
              <w:rPr>
                <w:rFonts w:ascii="Calibri" w:hAnsi="Calibri"/>
                <w:color w:val="18202A"/>
                <w:sz w:val="19"/>
              </w:rPr>
              <w:t>Stream 2</w:t>
            </w:r>
          </w:p>
        </w:tc>
        <w:tc>
          <w:tcPr>
            <w:tcW w:type="dxa" w:w="1417"/>
            <w:shd w:val="clear" w:color="auto" w:fill="F5F7FA"/>
            <w:vAlign w:val="top"/>
          </w:tcPr>
          <w:p>
            <w:pPr>
              <w:spacing w:before="40" w:after="40" w:line="288" w:lineRule="auto"/>
            </w:pPr>
            <w:r>
              <w:rPr>
                <w:rFonts w:ascii="Calibri" w:hAnsi="Calibri"/>
                <w:color w:val="18202A"/>
                <w:sz w:val="19"/>
              </w:rPr>
              <w:t>You</w:t>
            </w:r>
          </w:p>
        </w:tc>
        <w:tc>
          <w:tcPr>
            <w:tcW w:type="dxa" w:w="3118"/>
            <w:shd w:val="clear" w:color="auto" w:fill="F5F7FA"/>
            <w:vAlign w:val="top"/>
          </w:tcPr>
          <w:p>
            <w:pPr>
              <w:spacing w:before="40" w:after="40" w:line="288" w:lineRule="auto"/>
            </w:pPr>
            <w:r>
              <w:rPr>
                <w:rFonts w:ascii="Calibri" w:hAnsi="Calibri"/>
                <w:color w:val="18202A"/>
                <w:sz w:val="19"/>
              </w:rPr>
              <w:t>Brief #33 — AD/SSO</w:t>
            </w:r>
          </w:p>
        </w:tc>
        <w:tc>
          <w:tcPr>
            <w:tcW w:type="dxa" w:w="1417"/>
            <w:shd w:val="clear" w:color="auto" w:fill="F5F7FA"/>
            <w:vAlign w:val="top"/>
          </w:tcPr>
          <w:p>
            <w:pPr>
              <w:spacing w:before="40" w:after="40" w:line="288" w:lineRule="auto"/>
            </w:pPr>
            <w:r>
              <w:rPr>
                <w:rFonts w:ascii="Calibri" w:hAnsi="Calibri"/>
                <w:color w:val="18202A"/>
                <w:sz w:val="19"/>
              </w:rPr>
              <w:t>2–3 wks</w:t>
            </w:r>
          </w:p>
        </w:tc>
        <w:tc>
          <w:tcPr>
            <w:tcW w:type="dxa" w:w="1701"/>
            <w:shd w:val="clear" w:color="auto" w:fill="F5F7FA"/>
            <w:vAlign w:val="top"/>
          </w:tcPr>
          <w:p>
            <w:pPr>
              <w:spacing w:before="40" w:after="40" w:line="288" w:lineRule="auto"/>
            </w:pPr>
            <w:r>
              <w:rPr>
                <w:rFonts w:ascii="Calibri" w:hAnsi="Calibri"/>
                <w:color w:val="18202A"/>
                <w:sz w:val="19"/>
              </w:rPr>
              <w:t>Brief #17 (users) ✓</w:t>
            </w:r>
          </w:p>
        </w:tc>
      </w:tr>
    </w:tbl>
    <w:p>
      <w:pPr>
        <w:spacing w:after="120"/>
      </w:pPr>
    </w:p>
    <w:p>
      <w:pPr>
        <w:spacing w:before="0" w:after="120" w:line="312" w:lineRule="auto"/>
        <w:jc w:val="left"/>
      </w:pPr>
      <w:r>
        <w:rPr>
          <w:rFonts w:ascii="Calibri" w:hAnsi="Calibri"/>
          <w:b w:val="0"/>
          <w:i w:val="0"/>
          <w:color w:val="18202A"/>
          <w:sz w:val="22"/>
        </w:rPr>
        <w:t>These two have zero overlap — H is backend + filesystem + connector framework; G is auth + identity + frontend login. Running them in parallel cuts total time from 6 weeks to ~3 weeks.</w:t>
      </w:r>
    </w:p>
    <w:p>
      <w:r>
        <w:br w:type="page"/>
      </w:r>
    </w:p>
    <w:p>
      <w:pPr>
        <w:pStyle w:val="Heading1"/>
        <w:spacing w:before="360" w:after="80"/>
      </w:pPr>
      <w:r>
        <w:rPr>
          <w:rFonts w:ascii="Calibri" w:hAnsi="Calibri"/>
          <w:b/>
          <w:color w:val="4C2991"/>
          <w:sz w:val="40"/>
        </w:rPr>
        <w:t>Appendix — Briefs #32 and #33 Inventory</w:t>
      </w:r>
    </w:p>
    <w:p>
      <w:pPr>
        <w:pBdr>
          <w:bottom w:val="single" w:sz="8" w:space="1" w:color="00A896"/>
        </w:pBdr>
        <w:spacing w:before="0" w:after="160"/>
      </w:pPr>
    </w:p>
    <w:p>
      <w:pPr>
        <w:spacing w:before="0" w:after="120" w:line="312" w:lineRule="auto"/>
        <w:jc w:val="left"/>
      </w:pPr>
      <w:r>
        <w:rPr>
          <w:rFonts w:ascii="Calibri" w:hAnsi="Calibri"/>
          <w:b w:val="0"/>
          <w:i/>
          <w:color w:val="506070"/>
          <w:sz w:val="22"/>
        </w:rPr>
        <w:t>Two fully-drafted briefs accompany this roadmap document. Hand them to Kimi in order: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850"/>
            <w:shd w:val="clear" w:color="auto" w:fill="4C2991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Brief</w:t>
            </w:r>
          </w:p>
        </w:tc>
        <w:tc>
          <w:tcPr>
            <w:tcW w:type="dxa" w:w="3685"/>
            <w:shd w:val="clear" w:color="auto" w:fill="4C2991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Title</w:t>
            </w:r>
          </w:p>
        </w:tc>
        <w:tc>
          <w:tcPr>
            <w:tcW w:type="dxa" w:w="850"/>
            <w:shd w:val="clear" w:color="auto" w:fill="4C2991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Phases</w:t>
            </w:r>
          </w:p>
        </w:tc>
        <w:tc>
          <w:tcPr>
            <w:tcW w:type="dxa" w:w="1020"/>
            <w:shd w:val="clear" w:color="auto" w:fill="4C2991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Effort</w:t>
            </w:r>
          </w:p>
        </w:tc>
        <w:tc>
          <w:tcPr>
            <w:tcW w:type="dxa" w:w="2665"/>
            <w:shd w:val="clear" w:color="auto" w:fill="4C2991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File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before="40" w:after="40" w:line="288" w:lineRule="auto"/>
            </w:pPr>
            <w:r>
              <w:rPr>
                <w:rFonts w:ascii="Calibri" w:hAnsi="Calibri"/>
                <w:color w:val="18202A"/>
                <w:sz w:val="19"/>
              </w:rPr>
              <w:t>#32</w:t>
            </w:r>
          </w:p>
        </w:tc>
        <w:tc>
          <w:tcPr>
            <w:tcW w:type="dxa" w:w="3685"/>
            <w:vAlign w:val="top"/>
          </w:tcPr>
          <w:p>
            <w:pPr>
              <w:spacing w:before="40" w:after="40" w:line="288" w:lineRule="auto"/>
            </w:pPr>
            <w:r>
              <w:rPr>
                <w:rFonts w:ascii="Calibri" w:hAnsi="Calibri"/>
                <w:color w:val="18202A"/>
                <w:sz w:val="19"/>
              </w:rPr>
              <w:t>External Data Connectors + Bulk Folder Ingestion</w:t>
            </w:r>
          </w:p>
        </w:tc>
        <w:tc>
          <w:tcPr>
            <w:tcW w:type="dxa" w:w="850"/>
            <w:vAlign w:val="top"/>
          </w:tcPr>
          <w:p>
            <w:pPr>
              <w:spacing w:before="40" w:after="40" w:line="288" w:lineRule="auto"/>
            </w:pPr>
            <w:r>
              <w:rPr>
                <w:rFonts w:ascii="Calibri" w:hAnsi="Calibri"/>
                <w:color w:val="18202A"/>
                <w:sz w:val="19"/>
              </w:rPr>
              <w:t>6</w:t>
            </w:r>
          </w:p>
        </w:tc>
        <w:tc>
          <w:tcPr>
            <w:tcW w:type="dxa" w:w="1020"/>
            <w:vAlign w:val="top"/>
          </w:tcPr>
          <w:p>
            <w:pPr>
              <w:spacing w:before="40" w:after="40" w:line="288" w:lineRule="auto"/>
            </w:pPr>
            <w:r>
              <w:rPr>
                <w:rFonts w:ascii="Calibri" w:hAnsi="Calibri"/>
                <w:color w:val="18202A"/>
                <w:sz w:val="19"/>
              </w:rPr>
              <w:t>3–4 wks</w:t>
            </w:r>
          </w:p>
        </w:tc>
        <w:tc>
          <w:tcPr>
            <w:tcW w:type="dxa" w:w="2665"/>
            <w:vAlign w:val="top"/>
          </w:tcPr>
          <w:p>
            <w:pPr>
              <w:spacing w:before="40" w:after="40" w:line="288" w:lineRule="auto"/>
            </w:pPr>
            <w:r>
              <w:rPr>
                <w:rFonts w:ascii="Calibri" w:hAnsi="Calibri"/>
                <w:color w:val="18202A"/>
                <w:sz w:val="19"/>
              </w:rPr>
              <w:t>Brief_32_Data_Connectors.md</w:t>
            </w:r>
          </w:p>
        </w:tc>
      </w:tr>
      <w:tr>
        <w:tc>
          <w:tcPr>
            <w:tcW w:type="dxa" w:w="850"/>
            <w:shd w:val="clear" w:color="auto" w:fill="F5F7FA"/>
            <w:vAlign w:val="top"/>
          </w:tcPr>
          <w:p>
            <w:pPr>
              <w:spacing w:before="40" w:after="40" w:line="288" w:lineRule="auto"/>
            </w:pPr>
            <w:r>
              <w:rPr>
                <w:rFonts w:ascii="Calibri" w:hAnsi="Calibri"/>
                <w:color w:val="18202A"/>
                <w:sz w:val="19"/>
              </w:rPr>
              <w:t>#33</w:t>
            </w:r>
          </w:p>
        </w:tc>
        <w:tc>
          <w:tcPr>
            <w:tcW w:type="dxa" w:w="3685"/>
            <w:shd w:val="clear" w:color="auto" w:fill="F5F7FA"/>
            <w:vAlign w:val="top"/>
          </w:tcPr>
          <w:p>
            <w:pPr>
              <w:spacing w:before="40" w:after="40" w:line="288" w:lineRule="auto"/>
            </w:pPr>
            <w:r>
              <w:rPr>
                <w:rFonts w:ascii="Calibri" w:hAnsi="Calibri"/>
                <w:color w:val="18202A"/>
                <w:sz w:val="19"/>
              </w:rPr>
              <w:t>Active Directory / SSO Authentication (OIDC + SCIM)</w:t>
            </w:r>
          </w:p>
        </w:tc>
        <w:tc>
          <w:tcPr>
            <w:tcW w:type="dxa" w:w="850"/>
            <w:shd w:val="clear" w:color="auto" w:fill="F5F7FA"/>
            <w:vAlign w:val="top"/>
          </w:tcPr>
          <w:p>
            <w:pPr>
              <w:spacing w:before="40" w:after="40" w:line="288" w:lineRule="auto"/>
            </w:pPr>
            <w:r>
              <w:rPr>
                <w:rFonts w:ascii="Calibri" w:hAnsi="Calibri"/>
                <w:color w:val="18202A"/>
                <w:sz w:val="19"/>
              </w:rPr>
              <w:t>6</w:t>
            </w:r>
          </w:p>
        </w:tc>
        <w:tc>
          <w:tcPr>
            <w:tcW w:type="dxa" w:w="1020"/>
            <w:shd w:val="clear" w:color="auto" w:fill="F5F7FA"/>
            <w:vAlign w:val="top"/>
          </w:tcPr>
          <w:p>
            <w:pPr>
              <w:spacing w:before="40" w:after="40" w:line="288" w:lineRule="auto"/>
            </w:pPr>
            <w:r>
              <w:rPr>
                <w:rFonts w:ascii="Calibri" w:hAnsi="Calibri"/>
                <w:color w:val="18202A"/>
                <w:sz w:val="19"/>
              </w:rPr>
              <w:t>2–3 wks</w:t>
            </w:r>
          </w:p>
        </w:tc>
        <w:tc>
          <w:tcPr>
            <w:tcW w:type="dxa" w:w="2665"/>
            <w:shd w:val="clear" w:color="auto" w:fill="F5F7FA"/>
            <w:vAlign w:val="top"/>
          </w:tcPr>
          <w:p>
            <w:pPr>
              <w:spacing w:before="40" w:after="40" w:line="288" w:lineRule="auto"/>
            </w:pPr>
            <w:r>
              <w:rPr>
                <w:rFonts w:ascii="Calibri" w:hAnsi="Calibri"/>
                <w:color w:val="18202A"/>
                <w:sz w:val="19"/>
              </w:rPr>
              <w:t>Brief_33_AD_SSO.md</w:t>
            </w:r>
          </w:p>
        </w:tc>
      </w:tr>
    </w:tbl>
    <w:p>
      <w:pPr>
        <w:spacing w:after="120"/>
      </w:pPr>
    </w:p>
    <w:p>
      <w:pPr>
        <w:pStyle w:val="Heading2"/>
        <w:spacing w:before="280" w:after="80"/>
      </w:pPr>
      <w:r>
        <w:rPr>
          <w:rFonts w:ascii="Calibri" w:hAnsi="Calibri"/>
          <w:b/>
          <w:color w:val="4C2991"/>
          <w:sz w:val="28"/>
        </w:rPr>
        <w:t>Brief #32 — Phase summary (Data Connectors)</w:t>
      </w:r>
    </w:p>
    <w:p>
      <w:pPr>
        <w:pStyle w:val="ListBullet"/>
        <w:spacing w:line="312" w:lineRule="auto" w:after="60"/>
      </w:pPr>
      <w:r>
        <w:rPr>
          <w:rFonts w:ascii="Calibri" w:hAnsi="Calibri"/>
          <w:color w:val="18202A"/>
          <w:sz w:val="22"/>
        </w:rPr>
        <w:t>Phase 1: Connector framework + local folder watcher (Week 1)</w:t>
      </w:r>
    </w:p>
    <w:p>
      <w:pPr>
        <w:pStyle w:val="ListBullet"/>
        <w:spacing w:line="312" w:lineRule="auto" w:after="60"/>
      </w:pPr>
      <w:r>
        <w:rPr>
          <w:rFonts w:ascii="Calibri" w:hAnsi="Calibri"/>
          <w:color w:val="18202A"/>
          <w:sz w:val="22"/>
        </w:rPr>
        <w:t>Phase 2: Multi-file bulk upload UI (Week 1, parallel)</w:t>
      </w:r>
    </w:p>
    <w:p>
      <w:pPr>
        <w:pStyle w:val="ListBullet"/>
        <w:spacing w:line="312" w:lineRule="auto" w:after="60"/>
      </w:pPr>
      <w:r>
        <w:rPr>
          <w:rFonts w:ascii="Calibri" w:hAnsi="Calibri"/>
          <w:color w:val="18202A"/>
          <w:sz w:val="22"/>
        </w:rPr>
        <w:t>Phase 3: SharePoint / OneDrive connector (Week 2–3)</w:t>
      </w:r>
    </w:p>
    <w:p>
      <w:pPr>
        <w:pStyle w:val="ListBullet"/>
        <w:spacing w:line="312" w:lineRule="auto" w:after="60"/>
      </w:pPr>
      <w:r>
        <w:rPr>
          <w:rFonts w:ascii="Calibri" w:hAnsi="Calibri"/>
          <w:color w:val="18202A"/>
          <w:sz w:val="22"/>
        </w:rPr>
        <w:t>Phase 4: Google Drive connector (Week 3)</w:t>
      </w:r>
    </w:p>
    <w:p>
      <w:pPr>
        <w:pStyle w:val="ListBullet"/>
        <w:spacing w:line="312" w:lineRule="auto" w:after="60"/>
      </w:pPr>
      <w:r>
        <w:rPr>
          <w:rFonts w:ascii="Calibri" w:hAnsi="Calibri"/>
          <w:color w:val="18202A"/>
          <w:sz w:val="22"/>
        </w:rPr>
        <w:t>Phase 5: SMTP email attachment ingest (Week 3–4)</w:t>
      </w:r>
    </w:p>
    <w:p>
      <w:pPr>
        <w:pStyle w:val="ListBullet"/>
        <w:spacing w:line="312" w:lineRule="auto" w:after="60"/>
      </w:pPr>
      <w:r>
        <w:rPr>
          <w:rFonts w:ascii="Calibri" w:hAnsi="Calibri"/>
          <w:color w:val="18202A"/>
          <w:sz w:val="22"/>
        </w:rPr>
        <w:t>Phase 6: Conflict resolution + versioning integration (Week 4)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4C2991"/>
          <w:sz w:val="28"/>
        </w:rPr>
        <w:t>Brief #33 — Phase summary (AD/SSO)</w:t>
      </w:r>
    </w:p>
    <w:p>
      <w:pPr>
        <w:pStyle w:val="ListBullet"/>
        <w:spacing w:line="312" w:lineRule="auto" w:after="60"/>
      </w:pPr>
      <w:r>
        <w:rPr>
          <w:rFonts w:ascii="Calibri" w:hAnsi="Calibri"/>
          <w:color w:val="18202A"/>
          <w:sz w:val="22"/>
        </w:rPr>
        <w:t>Phase 1: OIDC provider config + login flow (Week 1)</w:t>
      </w:r>
    </w:p>
    <w:p>
      <w:pPr>
        <w:pStyle w:val="ListBullet"/>
        <w:spacing w:line="312" w:lineRule="auto" w:after="60"/>
      </w:pPr>
      <w:r>
        <w:rPr>
          <w:rFonts w:ascii="Calibri" w:hAnsi="Calibri"/>
          <w:color w:val="18202A"/>
          <w:sz w:val="22"/>
        </w:rPr>
        <w:t>Phase 2: Group-to-role mapping (Week 2)</w:t>
      </w:r>
    </w:p>
    <w:p>
      <w:pPr>
        <w:pStyle w:val="ListBullet"/>
        <w:spacing w:line="312" w:lineRule="auto" w:after="60"/>
      </w:pPr>
      <w:r>
        <w:rPr>
          <w:rFonts w:ascii="Calibri" w:hAnsi="Calibri"/>
          <w:color w:val="18202A"/>
          <w:sz w:val="22"/>
        </w:rPr>
        <w:t>Phase 3: Frontend polish + error handling (Week 2)</w:t>
      </w:r>
    </w:p>
    <w:p>
      <w:pPr>
        <w:pStyle w:val="ListBullet"/>
        <w:spacing w:line="312" w:lineRule="auto" w:after="60"/>
      </w:pPr>
      <w:r>
        <w:rPr>
          <w:rFonts w:ascii="Calibri" w:hAnsi="Calibri"/>
          <w:color w:val="18202A"/>
          <w:sz w:val="22"/>
        </w:rPr>
        <w:t>Phase 4: SCIM 2.0 endpoint (Week 3)</w:t>
      </w:r>
    </w:p>
    <w:p>
      <w:pPr>
        <w:pStyle w:val="ListBullet"/>
        <w:spacing w:line="312" w:lineRule="auto" w:after="60"/>
      </w:pPr>
      <w:r>
        <w:rPr>
          <w:rFonts w:ascii="Calibri" w:hAnsi="Calibri"/>
          <w:color w:val="18202A"/>
          <w:sz w:val="22"/>
        </w:rPr>
        <w:t>Phase 5: Multi-IdP support (Week 3)</w:t>
      </w:r>
    </w:p>
    <w:p>
      <w:pPr>
        <w:pStyle w:val="ListBullet"/>
        <w:spacing w:line="312" w:lineRule="auto" w:after="60"/>
      </w:pPr>
      <w:r>
        <w:rPr>
          <w:rFonts w:ascii="Calibri" w:hAnsi="Calibri"/>
          <w:color w:val="18202A"/>
          <w:sz w:val="22"/>
        </w:rPr>
        <w:t>Phase 6: Single Logout + session bridging (Week 3, stretch)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4C2991"/>
          <w:sz w:val="28"/>
        </w:rPr>
        <w:t>Key technical decisions in the briefs</w:t>
      </w:r>
    </w:p>
    <w:p>
      <w:pPr>
        <w:pStyle w:val="Heading3"/>
        <w:spacing w:before="200" w:after="40"/>
      </w:pPr>
      <w:r>
        <w:rPr>
          <w:rFonts w:ascii="Calibri" w:hAnsi="Calibri"/>
          <w:b/>
          <w:color w:val="18202A"/>
          <w:sz w:val="24"/>
        </w:rPr>
        <w:t>Brief #32 — Data Connectors</w:t>
      </w:r>
    </w:p>
    <w:p>
      <w:pPr>
        <w:pStyle w:val="ListBullet"/>
        <w:spacing w:line="312" w:lineRule="auto" w:after="60"/>
      </w:pPr>
      <w:r>
        <w:rPr>
          <w:rFonts w:ascii="Calibri" w:hAnsi="Calibri"/>
          <w:color w:val="18202A"/>
          <w:sz w:val="22"/>
        </w:rPr>
        <w:t>Pluggable Connector ABC in backend/app/services/connectors/base.py</w:t>
      </w:r>
    </w:p>
    <w:p>
      <w:pPr>
        <w:pStyle w:val="ListBullet"/>
        <w:spacing w:line="312" w:lineRule="auto" w:after="60"/>
      </w:pPr>
      <w:r>
        <w:rPr>
          <w:rFonts w:ascii="Calibri" w:hAnsi="Calibri"/>
          <w:color w:val="18202A"/>
          <w:sz w:val="22"/>
        </w:rPr>
        <w:t>3 new tables: data_connectors, connector_files (incremental sync tracking), connector_path_rules (scope inference)</w:t>
      </w:r>
    </w:p>
    <w:p>
      <w:pPr>
        <w:pStyle w:val="ListBullet"/>
        <w:spacing w:line="312" w:lineRule="auto" w:after="60"/>
      </w:pPr>
      <w:r>
        <w:rPr>
          <w:rFonts w:ascii="Calibri" w:hAnsi="Calibri"/>
          <w:color w:val="18202A"/>
          <w:sz w:val="22"/>
        </w:rPr>
        <w:t>Connector credentials AES-256 encrypted at rest with per-tenant key</w:t>
      </w:r>
    </w:p>
    <w:p>
      <w:pPr>
        <w:pStyle w:val="ListBullet"/>
        <w:spacing w:line="312" w:lineRule="auto" w:after="60"/>
      </w:pPr>
      <w:r>
        <w:rPr>
          <w:rFonts w:ascii="Calibri" w:hAnsi="Calibri"/>
          <w:color w:val="18202A"/>
          <w:sz w:val="22"/>
        </w:rPr>
        <w:t>Conflict resolution integrates with Brief #39's existing versioning</w:t>
      </w:r>
    </w:p>
    <w:p>
      <w:pPr>
        <w:pStyle w:val="ListBullet"/>
        <w:spacing w:line="312" w:lineRule="auto" w:after="60"/>
      </w:pPr>
      <w:r>
        <w:rPr>
          <w:rFonts w:ascii="Calibri" w:hAnsi="Calibri"/>
          <w:color w:val="18202A"/>
          <w:sz w:val="22"/>
        </w:rPr>
        <w:t>Backpressure: pause sync if indexing queue &gt; 1000 items</w:t>
      </w:r>
    </w:p>
    <w:p>
      <w:pPr>
        <w:pStyle w:val="Heading3"/>
        <w:spacing w:before="200" w:after="40"/>
      </w:pPr>
      <w:r>
        <w:rPr>
          <w:rFonts w:ascii="Calibri" w:hAnsi="Calibri"/>
          <w:b/>
          <w:color w:val="18202A"/>
          <w:sz w:val="24"/>
        </w:rPr>
        <w:t>Brief #33 — AD/SSO</w:t>
      </w:r>
    </w:p>
    <w:p>
      <w:pPr>
        <w:pStyle w:val="ListBullet"/>
        <w:spacing w:line="312" w:lineRule="auto" w:after="60"/>
      </w:pPr>
      <w:r>
        <w:rPr>
          <w:rFonts w:ascii="Calibri" w:hAnsi="Calibri"/>
          <w:color w:val="18202A"/>
          <w:sz w:val="22"/>
        </w:rPr>
        <w:t>OIDC first (SAML deferred to follow-up brief)</w:t>
      </w:r>
    </w:p>
    <w:p>
      <w:pPr>
        <w:pStyle w:val="ListBullet"/>
        <w:spacing w:line="312" w:lineRule="auto" w:after="60"/>
      </w:pPr>
      <w:r>
        <w:rPr>
          <w:rFonts w:ascii="Calibri" w:hAnsi="Calibri"/>
          <w:color w:val="18202A"/>
          <w:sz w:val="22"/>
        </w:rPr>
        <w:t>Just-in-time provisioning with per-IdP defaults (role, clearance, scope)</w:t>
      </w:r>
    </w:p>
    <w:p>
      <w:pPr>
        <w:pStyle w:val="ListBullet"/>
        <w:spacing w:line="312" w:lineRule="auto" w:after="60"/>
      </w:pPr>
      <w:r>
        <w:rPr>
          <w:rFonts w:ascii="Calibri" w:hAnsi="Calibri"/>
          <w:color w:val="18202A"/>
          <w:sz w:val="22"/>
        </w:rPr>
        <w:t>Group-to-role mapping: highest-privilege wins; SSO-managed memberships tracked with is_sso_managed flag</w:t>
      </w:r>
    </w:p>
    <w:p>
      <w:pPr>
        <w:pStyle w:val="ListBullet"/>
        <w:spacing w:line="312" w:lineRule="auto" w:after="60"/>
      </w:pPr>
      <w:r>
        <w:rPr>
          <w:rFonts w:ascii="Calibri" w:hAnsi="Calibri"/>
          <w:color w:val="18202A"/>
          <w:sz w:val="22"/>
        </w:rPr>
        <w:t>SCIM 2.0 endpoint at /api/scim/v2 (Users CRUD)</w:t>
      </w:r>
    </w:p>
    <w:p>
      <w:pPr>
        <w:pStyle w:val="ListBullet"/>
        <w:spacing w:line="312" w:lineRule="auto" w:after="60"/>
      </w:pPr>
      <w:r>
        <w:rPr>
          <w:rFonts w:ascii="Calibri" w:hAnsi="Calibri"/>
          <w:color w:val="18202A"/>
          <w:sz w:val="22"/>
        </w:rPr>
        <w:t>Break-glass admin enforcement: must always have ≥1 local-password admin</w:t>
      </w:r>
    </w:p>
    <w:p>
      <w:pPr>
        <w:pStyle w:val="ListBullet"/>
        <w:spacing w:line="312" w:lineRule="auto" w:after="60"/>
      </w:pPr>
      <w:r>
        <w:rPr>
          <w:rFonts w:ascii="Calibri" w:hAnsi="Calibri"/>
          <w:color w:val="18202A"/>
          <w:sz w:val="22"/>
        </w:rPr>
        <w:t>PKCE + state nonce in Redis (10-min TTL) for CSRF defense</w:t>
      </w:r>
    </w:p>
    <w:sectPr w:rsidR="00FC693F" w:rsidRPr="0006063C" w:rsidSect="00034616">
      <w:foot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06070"/>
        <w:sz w:val="18"/>
      </w:rPr>
      <w:t xml:space="preserve">Seekra Strategic Roadmap · © 2026 Seekra Media Holdings · Page </w:t>
    </w:r>
    <w:r>
      <w:rPr>
        <w:color w:val="506070"/>
        <w:sz w:val="18"/>
      </w:rPr>
      <w:fldChar w:fldCharType="begin"/>
      <w:instrText>PAGE \* arabic \* MERGEFORMAT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