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Operational Risk &amp; Internal Control Assessment Matrix</w:t>
      </w:r>
    </w:p>
    <w:p>
      <w:pPr>
        <w:pStyle w:val="Heading2"/>
      </w:pPr>
      <w:r>
        <w:t>1. Risk Assessment Framework</w:t>
      </w:r>
    </w:p>
    <w:p>
      <w:r>
        <w:t>Identifies Key Risk Indicators (KRIs) across branch operations, IT systems, clearing operations, and credit administration.</w:t>
      </w:r>
    </w:p>
    <w:p>
      <w:pPr>
        <w:pStyle w:val="Heading2"/>
      </w:pPr>
      <w:r>
        <w:t>2. Loss Event Data Collection</w:t>
      </w:r>
    </w:p>
    <w:p>
      <w:r>
        <w:t>All operational risk losses exceeding INR 50,000 must be recorded in the Bank's Loss Event Database within 5 working days.</w:t>
      </w:r>
    </w:p>
    <w:p>
      <w:pPr>
        <w:pStyle w:val="Heading2"/>
      </w:pPr>
      <w:r>
        <w:t>3. Control Effectiveness Testing</w:t>
      </w:r>
    </w:p>
    <w:p>
      <w:r>
        <w:t>Quarterly testing of key operational controls by internal risk managers to ensure compliance with Basel III Operational Risk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