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Framework — Internal &amp; External Fraud Prevention</w:t>
      </w:r>
    </w:p>
    <w:p>
      <w:pPr>
        <w:pStyle w:val="Heading2"/>
      </w:pPr>
      <w:r>
        <w:t>1. Early Warning Signals (EWS)</w:t>
      </w:r>
    </w:p>
    <w:p>
      <w:r>
        <w:t>Branches must monitor red flag indicators such as frequent cheque bounces, unexplained cash deposits, unauthorized system logons, and unexpected collateral substitutions.</w:t>
      </w:r>
    </w:p>
    <w:p>
      <w:pPr>
        <w:pStyle w:val="Heading2"/>
      </w:pPr>
      <w:r>
        <w:t>2. Incident Escalation Timeline</w:t>
      </w:r>
    </w:p>
    <w:p>
      <w:r>
        <w:t>Any confirmed or suspected fraud exceeding INR 10 Lakhs must be reported to the Chief Vigilance Officer (CVO) within 24 hours and to the RBI Fraud Monitoring Cell within 3 weeks.</w:t>
      </w:r>
    </w:p>
    <w:p>
      <w:pPr>
        <w:pStyle w:val="Heading2"/>
      </w:pPr>
      <w:r>
        <w:t>3. Whistleblower Protection</w:t>
      </w:r>
    </w:p>
    <w:p>
      <w:r>
        <w:t>Employees reporting suspicious activities in good faith are protected from retaliation under the Bank's Whistleblower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