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Policy — Home Loan &amp; LAP Underwriting Manual</w:t>
      </w:r>
    </w:p>
    <w:p>
      <w:pPr>
        <w:pStyle w:val="Heading2"/>
      </w:pPr>
      <w:r>
        <w:t>1. Loan-to-Value (LTV) Limits</w:t>
      </w:r>
    </w:p>
    <w:p>
      <w:r>
        <w:t>For home loans up to INR 30 Lakhs, maximum LTV ratio is 90%. For loans between INR 30 Lakhs and 75 Lakhs, maximum LTV is 80%. For loans above 75 Lakhs, maximum LTV is 75%.</w:t>
      </w:r>
    </w:p>
    <w:p>
      <w:pPr>
        <w:pStyle w:val="Heading2"/>
      </w:pPr>
      <w:r>
        <w:t>2. Fixed Obligation to Income Ratio (FOIR)</w:t>
      </w:r>
    </w:p>
    <w:p>
      <w:r>
        <w:t>Maximum allowable FOIR including proposed housing EMI is capped at 55% for salaried applicants and 60% for self-employed professionals.</w:t>
      </w:r>
    </w:p>
    <w:p>
      <w:pPr>
        <w:pStyle w:val="Heading2"/>
      </w:pPr>
      <w:r>
        <w:t>3. Title Legal Clearance</w:t>
      </w:r>
    </w:p>
    <w:p>
      <w:r>
        <w:t>Mandatory 30-year search report from bank-empanelled advocate and technical valuation report by two independent valuers for property value exceeding INR 1 Crore.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