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RBI Master Circular — Priority Sector Lending (PSL) Targets</w:t>
      </w:r>
    </w:p>
    <w:p>
      <w:pPr>
        <w:pStyle w:val="Heading2"/>
      </w:pPr>
      <w:r>
        <w:t>1. Overall Target</w:t>
      </w:r>
    </w:p>
    <w:p>
      <w:r>
        <w:t>Domestic commercial banks shall achieve an overall Priority Sector Lending target of 40 percent of Adjusted Net Bank Credit (ANBC) or Credit Equivalent Amount of Off-Balance Sheet Exposure (CEOBE), whichever is higher.</w:t>
      </w:r>
    </w:p>
    <w:p>
      <w:pPr>
        <w:pStyle w:val="Heading2"/>
      </w:pPr>
      <w:r>
        <w:t>2. Sub-targets for Agriculture &amp; MSME</w:t>
      </w:r>
    </w:p>
    <w:p>
      <w:r>
        <w:t>Within the 40 percent target, 18 percent is allocated for Agriculture (with 10 percent for Small &amp; Marginal Farmers) and 7.5 percent for Micro Enterprises.</w:t>
      </w:r>
    </w:p>
    <w:p>
      <w:pPr>
        <w:pStyle w:val="Heading2"/>
      </w:pPr>
      <w:r>
        <w:t>3. Non-compliance Penalty</w:t>
      </w:r>
    </w:p>
    <w:p>
      <w:r>
        <w:t>Shortfalls in achieving PSL targets shall be deposited into the Rural Infrastructure Development Fund (RIDF) established with NABARD or specified funds with SIDBI/NHB.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