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SOP — Enhanced Due Diligence (EDD) Approval Process</w:t>
      </w:r>
    </w:p>
    <w:p>
      <w:pPr>
        <w:pStyle w:val="Heading2"/>
      </w:pPr>
      <w:r>
        <w:t>1. Scope</w:t>
      </w:r>
    </w:p>
    <w:p>
      <w:r>
        <w:t>Mandatory procedure for onboarding Politically Exposed Persons (PEPs), high-net-worth individuals from high-risk jurisdictions, and non-face-to-face accounts.</w:t>
      </w:r>
    </w:p>
    <w:p>
      <w:pPr>
        <w:pStyle w:val="Heading2"/>
      </w:pPr>
      <w:r>
        <w:t>2. EDD Requirements</w:t>
      </w:r>
    </w:p>
    <w:p>
      <w:r>
        <w:t>Staff must obtain verified proof of source of wealth, source of funds, senior management approval, and conduct web screening against sanctions lists.</w:t>
      </w:r>
    </w:p>
    <w:p>
      <w:pPr>
        <w:pStyle w:val="Heading2"/>
      </w:pPr>
      <w:r>
        <w:t>3. Escalation &amp; Approval Matrix</w:t>
      </w:r>
    </w:p>
    <w:p>
      <w:r>
        <w:t>High-risk account activation requires written clearance from the Branch Compliance Officer and Regional AML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