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Treasury Policy — SLR &amp; Non-SLR Investment Operations</w:t>
      </w:r>
    </w:p>
    <w:p>
      <w:pPr>
        <w:pStyle w:val="Heading2"/>
      </w:pPr>
      <w:r>
        <w:t>1. Statutory Liquidity Ratio (SLR)</w:t>
      </w:r>
    </w:p>
    <w:p>
      <w:r>
        <w:t>Maintain prescribed SLR investments in approved Central and State Government securities as mandated by RBI under Section 24 of the Banking Regulation Act.</w:t>
      </w:r>
    </w:p>
    <w:p>
      <w:pPr>
        <w:pStyle w:val="Heading2"/>
      </w:pPr>
      <w:r>
        <w:t>2. Non-SLR Investments</w:t>
      </w:r>
    </w:p>
    <w:p>
      <w:r>
        <w:t>Investments in corporate bonds and commercial papers are restricted to AAA or AA+ rated instruments. Exposure to any single corporate group is capped at 15 percent of capital funds.</w:t>
      </w:r>
    </w:p>
    <w:p>
      <w:pPr>
        <w:pStyle w:val="Heading2"/>
      </w:pPr>
      <w:r>
        <w:t>3. Mark-to-Market (MTM) Valuation</w:t>
      </w:r>
    </w:p>
    <w:p>
      <w:r>
        <w:t>Held for Trading (HFT) and Available for Sale (AFS) securities must be revalued on a weekly and monthly basis respectively per RBI valuation norms.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