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left w:w="0" w:type="dxa"/>
          <w:right w:w="0" w:type="dxa"/>
        </w:tblCellMar>
        <w:tblLook w:val="04A0" w:firstRow="1" w:lastRow="0" w:firstColumn="1" w:lastColumn="0" w:noHBand="0" w:noVBand="1"/>
      </w:tblPr>
      <w:tblGrid>
        <w:gridCol w:w="66"/>
      </w:tblGrid>
      <w:tr w:rsidR="000D1595" w14:paraId="45AFEA9E" w14:textId="77777777" w:rsidTr="000D1595">
        <w:trPr>
          <w:tblCellSpacing w:w="15" w:type="dxa"/>
        </w:trPr>
        <w:tc>
          <w:tcPr>
            <w:tcW w:w="0" w:type="auto"/>
            <w:vAlign w:val="center"/>
          </w:tcPr>
          <w:p w14:paraId="45AFEA9D" w14:textId="77777777" w:rsidR="000D1595" w:rsidRDefault="000D1595">
            <w:pPr>
              <w:spacing w:after="0" w:line="240" w:lineRule="auto"/>
              <w:jc w:val="both"/>
              <w:rPr>
                <w:rFonts w:ascii="Verdana" w:eastAsia="Times New Roman" w:hAnsi="Verdana" w:cs="Times New Roman"/>
                <w:color w:val="676767"/>
                <w:sz w:val="16"/>
                <w:szCs w:val="16"/>
              </w:rPr>
            </w:pPr>
          </w:p>
        </w:tc>
      </w:tr>
    </w:tbl>
    <w:p w14:paraId="45AFEA9F" w14:textId="77777777" w:rsidR="000D1595" w:rsidRDefault="000D1595" w:rsidP="000D1595">
      <w:pPr>
        <w:spacing w:after="0" w:line="240" w:lineRule="auto"/>
        <w:jc w:val="both"/>
        <w:rPr>
          <w:rFonts w:ascii="Verdana" w:eastAsia="Times New Roman" w:hAnsi="Verdana" w:cs="Times New Roman"/>
          <w:vanish/>
          <w:color w:val="676767"/>
          <w:sz w:val="16"/>
          <w:szCs w:val="16"/>
        </w:rPr>
      </w:pPr>
    </w:p>
    <w:tbl>
      <w:tblPr>
        <w:tblW w:w="10080" w:type="dxa"/>
        <w:tblCellSpacing w:w="15" w:type="dxa"/>
        <w:tblCellMar>
          <w:left w:w="0" w:type="dxa"/>
          <w:right w:w="0" w:type="dxa"/>
        </w:tblCellMar>
        <w:tblLook w:val="04A0" w:firstRow="1" w:lastRow="0" w:firstColumn="1" w:lastColumn="0" w:noHBand="0" w:noVBand="1"/>
      </w:tblPr>
      <w:tblGrid>
        <w:gridCol w:w="10080"/>
      </w:tblGrid>
      <w:tr w:rsidR="000D1595" w:rsidRPr="00D82CE8" w14:paraId="45AFEADA" w14:textId="77777777" w:rsidTr="000D1595">
        <w:trPr>
          <w:tblCellSpacing w:w="15" w:type="dxa"/>
        </w:trPr>
        <w:tc>
          <w:tcPr>
            <w:tcW w:w="10020" w:type="dxa"/>
            <w:tcMar>
              <w:top w:w="75" w:type="dxa"/>
              <w:left w:w="75" w:type="dxa"/>
              <w:bottom w:w="75" w:type="dxa"/>
              <w:right w:w="75" w:type="dxa"/>
            </w:tcMar>
            <w:vAlign w:val="center"/>
          </w:tcPr>
          <w:p w14:paraId="45AFEAA0" w14:textId="77777777" w:rsidR="000D1595" w:rsidRPr="000D1595" w:rsidRDefault="000D1595" w:rsidP="000D1595">
            <w:pPr>
              <w:spacing w:before="100" w:beforeAutospacing="1" w:after="100" w:afterAutospacing="1" w:line="240" w:lineRule="auto"/>
              <w:jc w:val="center"/>
              <w:rPr>
                <w:rFonts w:ascii="Verdana" w:eastAsia="Times New Roman" w:hAnsi="Verdana" w:cs="Times New Roman"/>
                <w:b/>
                <w:color w:val="676767"/>
                <w:sz w:val="16"/>
                <w:szCs w:val="16"/>
              </w:rPr>
            </w:pPr>
            <w:r w:rsidRPr="000D1595">
              <w:rPr>
                <w:rFonts w:ascii="Verdana" w:eastAsia="Times New Roman" w:hAnsi="Verdana" w:cs="Times New Roman"/>
                <w:b/>
                <w:color w:val="676767"/>
                <w:sz w:val="16"/>
                <w:szCs w:val="16"/>
              </w:rPr>
              <w:t>Initiating Vehicle Lease</w:t>
            </w:r>
          </w:p>
          <w:p w14:paraId="45AFEAA1" w14:textId="77777777" w:rsidR="000D1595" w:rsidRDefault="000D1595">
            <w:pPr>
              <w:spacing w:before="100" w:beforeAutospacing="1" w:after="100" w:afterAutospacing="1" w:line="240" w:lineRule="auto"/>
              <w:jc w:val="both"/>
              <w:rPr>
                <w:rFonts w:ascii="Verdana" w:eastAsia="Times New Roman" w:hAnsi="Verdana" w:cs="Times New Roman"/>
                <w:color w:val="676767"/>
                <w:sz w:val="16"/>
                <w:szCs w:val="16"/>
              </w:rPr>
            </w:pPr>
            <w:r>
              <w:rPr>
                <w:rFonts w:ascii="Verdana" w:eastAsia="Times New Roman" w:hAnsi="Verdana" w:cs="Times New Roman"/>
                <w:color w:val="676767"/>
                <w:sz w:val="16"/>
                <w:szCs w:val="16"/>
              </w:rPr>
              <w:t xml:space="preserve">To apply for a new vehicle lease, send an email to </w:t>
            </w:r>
            <w:hyperlink r:id="rId8" w:history="1">
              <w:r>
                <w:rPr>
                  <w:rStyle w:val="Hyperlink"/>
                  <w:rFonts w:ascii="Verdana" w:eastAsia="Times New Roman" w:hAnsi="Verdana" w:cs="Times New Roman"/>
                  <w:color w:val="0072BC"/>
                  <w:sz w:val="16"/>
                  <w:szCs w:val="16"/>
                  <w:u w:val="none"/>
                </w:rPr>
                <w:t>AskHR</w:t>
              </w:r>
            </w:hyperlink>
            <w:r>
              <w:rPr>
                <w:rFonts w:ascii="Verdana" w:eastAsia="Times New Roman" w:hAnsi="Verdana" w:cs="Times New Roman"/>
                <w:color w:val="676767"/>
                <w:sz w:val="16"/>
                <w:szCs w:val="16"/>
              </w:rPr>
              <w:t xml:space="preserve"> with the following details: </w:t>
            </w:r>
          </w:p>
          <w:p w14:paraId="45AFEAA2" w14:textId="77777777" w:rsidR="000D1595" w:rsidRDefault="000D1595" w:rsidP="00D35E42">
            <w:pPr>
              <w:numPr>
                <w:ilvl w:val="0"/>
                <w:numId w:val="1"/>
              </w:numPr>
              <w:spacing w:before="100" w:beforeAutospacing="1" w:after="100" w:afterAutospacing="1" w:line="240" w:lineRule="auto"/>
              <w:jc w:val="both"/>
              <w:rPr>
                <w:rFonts w:ascii="Verdana" w:eastAsia="Times New Roman" w:hAnsi="Verdana" w:cs="Times New Roman"/>
                <w:color w:val="676767"/>
                <w:sz w:val="16"/>
                <w:szCs w:val="16"/>
              </w:rPr>
            </w:pPr>
            <w:proofErr w:type="spellStart"/>
            <w:r>
              <w:rPr>
                <w:rFonts w:ascii="Verdana" w:eastAsia="Times New Roman" w:hAnsi="Verdana" w:cs="Times New Roman"/>
                <w:color w:val="676767"/>
                <w:sz w:val="16"/>
                <w:szCs w:val="16"/>
              </w:rPr>
              <w:t>Proforma</w:t>
            </w:r>
            <w:proofErr w:type="spellEnd"/>
            <w:r>
              <w:rPr>
                <w:rFonts w:ascii="Verdana" w:eastAsia="Times New Roman" w:hAnsi="Verdana" w:cs="Times New Roman"/>
                <w:color w:val="676767"/>
                <w:sz w:val="16"/>
                <w:szCs w:val="16"/>
              </w:rPr>
              <w:t xml:space="preserve"> invoice (soft copy) from the dealer which should be in the name of Microsoft</w:t>
            </w:r>
          </w:p>
          <w:p w14:paraId="45AFEAA3" w14:textId="77777777" w:rsidR="000D1595" w:rsidRDefault="000D1595" w:rsidP="00D35E42">
            <w:pPr>
              <w:numPr>
                <w:ilvl w:val="0"/>
                <w:numId w:val="1"/>
              </w:numPr>
              <w:spacing w:before="100" w:beforeAutospacing="1" w:after="100" w:afterAutospacing="1" w:line="240" w:lineRule="auto"/>
              <w:jc w:val="both"/>
              <w:rPr>
                <w:rFonts w:ascii="Verdana" w:eastAsia="Times New Roman" w:hAnsi="Verdana" w:cs="Times New Roman"/>
                <w:color w:val="676767"/>
                <w:sz w:val="16"/>
                <w:szCs w:val="16"/>
              </w:rPr>
            </w:pPr>
            <w:r>
              <w:rPr>
                <w:rFonts w:ascii="Verdana" w:eastAsia="Times New Roman" w:hAnsi="Verdana" w:cs="Times New Roman"/>
                <w:color w:val="676767"/>
                <w:sz w:val="16"/>
                <w:szCs w:val="16"/>
              </w:rPr>
              <w:t>Tenure option</w:t>
            </w:r>
          </w:p>
          <w:p w14:paraId="45AFEAA4" w14:textId="77777777" w:rsidR="000D1595" w:rsidRDefault="000D1595" w:rsidP="00D35E42">
            <w:pPr>
              <w:numPr>
                <w:ilvl w:val="0"/>
                <w:numId w:val="1"/>
              </w:numPr>
              <w:spacing w:before="100" w:beforeAutospacing="1" w:after="100" w:afterAutospacing="1" w:line="240" w:lineRule="auto"/>
              <w:jc w:val="both"/>
              <w:rPr>
                <w:rFonts w:ascii="Verdana" w:eastAsia="Times New Roman" w:hAnsi="Verdana" w:cs="Times New Roman"/>
                <w:color w:val="676767"/>
                <w:sz w:val="16"/>
                <w:szCs w:val="16"/>
              </w:rPr>
            </w:pPr>
            <w:r>
              <w:rPr>
                <w:rFonts w:ascii="Verdana" w:eastAsia="Times New Roman" w:hAnsi="Verdana" w:cs="Times New Roman"/>
                <w:color w:val="676767"/>
                <w:sz w:val="16"/>
                <w:szCs w:val="16"/>
              </w:rPr>
              <w:t>Expected date of delivery of the car</w:t>
            </w:r>
          </w:p>
          <w:p w14:paraId="45AFEAA5" w14:textId="77777777" w:rsidR="000D1595" w:rsidRDefault="000D1595">
            <w:pPr>
              <w:spacing w:before="100" w:beforeAutospacing="1" w:after="100" w:afterAutospacing="1" w:line="240" w:lineRule="auto"/>
              <w:jc w:val="both"/>
              <w:rPr>
                <w:rFonts w:ascii="Verdana" w:eastAsia="Times New Roman" w:hAnsi="Verdana" w:cs="Times New Roman"/>
                <w:color w:val="676767"/>
                <w:sz w:val="16"/>
                <w:szCs w:val="16"/>
              </w:rPr>
            </w:pPr>
            <w:r>
              <w:rPr>
                <w:rFonts w:ascii="Verdana" w:eastAsia="Times New Roman" w:hAnsi="Verdana" w:cs="Times New Roman"/>
                <w:color w:val="676767"/>
                <w:sz w:val="16"/>
                <w:szCs w:val="16"/>
              </w:rPr>
              <w:t xml:space="preserve">Upon receiving the above information, the </w:t>
            </w:r>
            <w:hyperlink r:id="rId9" w:history="1">
              <w:r>
                <w:rPr>
                  <w:rStyle w:val="Hyperlink"/>
                  <w:rFonts w:ascii="Verdana" w:eastAsia="Times New Roman" w:hAnsi="Verdana" w:cs="Times New Roman"/>
                  <w:color w:val="0072BC"/>
                  <w:sz w:val="16"/>
                  <w:szCs w:val="16"/>
                  <w:u w:val="none"/>
                </w:rPr>
                <w:t>AskHR</w:t>
              </w:r>
            </w:hyperlink>
            <w:r>
              <w:rPr>
                <w:rFonts w:ascii="Verdana" w:eastAsia="Times New Roman" w:hAnsi="Verdana" w:cs="Times New Roman"/>
                <w:color w:val="676767"/>
                <w:sz w:val="16"/>
                <w:szCs w:val="16"/>
              </w:rPr>
              <w:t xml:space="preserve"> team will send out an authorization letter to the financer. Based on the authorization letter, the financer will make the payment to the specific dealer and intimate you directly. You can take the delivery of the car directly from the dealer.</w:t>
            </w:r>
          </w:p>
          <w:p w14:paraId="45AFEAA6" w14:textId="77777777" w:rsidR="000D1595" w:rsidRDefault="000D1595">
            <w:pPr>
              <w:spacing w:before="100" w:beforeAutospacing="1" w:after="100" w:afterAutospacing="1" w:line="240" w:lineRule="auto"/>
              <w:jc w:val="both"/>
              <w:rPr>
                <w:rFonts w:ascii="Verdana" w:eastAsia="Times New Roman" w:hAnsi="Verdana" w:cs="Times New Roman"/>
                <w:color w:val="676767"/>
                <w:sz w:val="16"/>
                <w:szCs w:val="16"/>
              </w:rPr>
            </w:pPr>
            <w:r>
              <w:rPr>
                <w:rFonts w:ascii="Verdana" w:eastAsia="Times New Roman" w:hAnsi="Verdana" w:cs="Times New Roman"/>
                <w:color w:val="676767"/>
                <w:sz w:val="16"/>
                <w:szCs w:val="16"/>
              </w:rPr>
              <w:t>This process takes about five working days from the time you send the above information. The start date of the lease is the payout date to the dealer.</w:t>
            </w:r>
          </w:p>
          <w:p w14:paraId="45AFEAA7" w14:textId="77777777" w:rsidR="000D1595" w:rsidRDefault="000D1595">
            <w:pPr>
              <w:spacing w:before="100" w:beforeAutospacing="1" w:after="100" w:afterAutospacing="1" w:line="240" w:lineRule="auto"/>
              <w:jc w:val="both"/>
              <w:rPr>
                <w:rFonts w:ascii="Verdana" w:eastAsia="Times New Roman" w:hAnsi="Verdana" w:cs="Times New Roman"/>
                <w:color w:val="676767"/>
                <w:sz w:val="16"/>
                <w:szCs w:val="16"/>
              </w:rPr>
            </w:pPr>
            <w:r>
              <w:rPr>
                <w:rFonts w:ascii="Verdana" w:eastAsia="Times New Roman" w:hAnsi="Verdana" w:cs="Times New Roman"/>
                <w:color w:val="676767"/>
                <w:sz w:val="16"/>
                <w:szCs w:val="16"/>
              </w:rPr>
              <w:t>If the request is cancelled and the financer has already processed the payout to the car dealer, then a fee will be charged to the employee based on the amount funded to the dealer.</w:t>
            </w:r>
          </w:p>
          <w:p w14:paraId="45AFEAA8" w14:textId="77777777" w:rsidR="000D1595" w:rsidRDefault="000D1595">
            <w:pPr>
              <w:spacing w:before="100" w:beforeAutospacing="1" w:after="100" w:afterAutospacing="1" w:line="240" w:lineRule="auto"/>
              <w:jc w:val="both"/>
              <w:rPr>
                <w:rFonts w:ascii="Verdana" w:eastAsia="Times New Roman" w:hAnsi="Verdana" w:cs="Times New Roman"/>
                <w:color w:val="676767"/>
                <w:sz w:val="16"/>
                <w:szCs w:val="16"/>
              </w:rPr>
            </w:pPr>
            <w:r>
              <w:rPr>
                <w:rFonts w:ascii="Verdana" w:eastAsia="Times New Roman" w:hAnsi="Verdana" w:cs="Times New Roman"/>
                <w:color w:val="676767"/>
                <w:sz w:val="16"/>
                <w:szCs w:val="16"/>
              </w:rPr>
              <w:t xml:space="preserve">If the car dealer fails to deliver the car as per the promised delivery date, inform </w:t>
            </w:r>
            <w:hyperlink r:id="rId10" w:history="1">
              <w:r>
                <w:rPr>
                  <w:rStyle w:val="Hyperlink"/>
                  <w:rFonts w:ascii="Verdana" w:eastAsia="Times New Roman" w:hAnsi="Verdana" w:cs="Times New Roman"/>
                  <w:color w:val="0072BC"/>
                  <w:sz w:val="16"/>
                  <w:szCs w:val="16"/>
                  <w:u w:val="none"/>
                </w:rPr>
                <w:t>AskHR</w:t>
              </w:r>
            </w:hyperlink>
            <w:r>
              <w:rPr>
                <w:rFonts w:ascii="Verdana" w:eastAsia="Times New Roman" w:hAnsi="Verdana" w:cs="Times New Roman"/>
                <w:color w:val="676767"/>
                <w:sz w:val="16"/>
                <w:szCs w:val="16"/>
              </w:rPr>
              <w:t>.</w:t>
            </w:r>
          </w:p>
          <w:p w14:paraId="45AFEAA9" w14:textId="77777777" w:rsidR="000D1595" w:rsidRDefault="00D82CE8">
            <w:pPr>
              <w:spacing w:before="100" w:beforeAutospacing="1" w:after="100" w:afterAutospacing="1" w:line="240" w:lineRule="auto"/>
              <w:jc w:val="both"/>
              <w:rPr>
                <w:rFonts w:ascii="Verdana" w:eastAsia="Times New Roman" w:hAnsi="Verdana" w:cs="Times New Roman"/>
                <w:color w:val="676767"/>
                <w:sz w:val="16"/>
                <w:szCs w:val="16"/>
              </w:rPr>
            </w:pPr>
            <w:hyperlink r:id="rId11" w:history="1">
              <w:r w:rsidR="000D1595">
                <w:rPr>
                  <w:rStyle w:val="Hyperlink"/>
                  <w:rFonts w:ascii="Verdana" w:eastAsia="Times New Roman" w:hAnsi="Verdana" w:cs="Times New Roman"/>
                  <w:color w:val="0072BC"/>
                  <w:sz w:val="16"/>
                  <w:szCs w:val="16"/>
                  <w:u w:val="none"/>
                </w:rPr>
                <w:t>Sundaram Financer Calculator</w:t>
              </w:r>
            </w:hyperlink>
          </w:p>
          <w:p w14:paraId="45AFEAAA" w14:textId="77777777" w:rsidR="000D1595" w:rsidRDefault="000D1595">
            <w:pPr>
              <w:spacing w:before="100" w:beforeAutospacing="1" w:after="100" w:afterAutospacing="1" w:line="240" w:lineRule="auto"/>
              <w:jc w:val="both"/>
              <w:rPr>
                <w:rFonts w:ascii="Verdana" w:eastAsia="Times New Roman" w:hAnsi="Verdana" w:cs="Times New Roman"/>
                <w:color w:val="676767"/>
                <w:sz w:val="16"/>
                <w:szCs w:val="16"/>
              </w:rPr>
            </w:pPr>
            <w:r>
              <w:rPr>
                <w:rFonts w:ascii="Verdana" w:eastAsia="Times New Roman" w:hAnsi="Verdana" w:cs="Times New Roman"/>
                <w:color w:val="676767"/>
                <w:sz w:val="16"/>
                <w:szCs w:val="16"/>
              </w:rPr>
              <w:t>Sundaram Finance Contacts:</w:t>
            </w:r>
          </w:p>
          <w:tbl>
            <w:tblPr>
              <w:tblW w:w="9540" w:type="dxa"/>
              <w:tblLook w:val="04A0" w:firstRow="1" w:lastRow="0" w:firstColumn="1" w:lastColumn="0" w:noHBand="0" w:noVBand="1"/>
            </w:tblPr>
            <w:tblGrid>
              <w:gridCol w:w="2260"/>
              <w:gridCol w:w="1880"/>
              <w:gridCol w:w="3160"/>
              <w:gridCol w:w="2240"/>
            </w:tblGrid>
            <w:tr w:rsidR="00D82CE8" w:rsidRPr="00D82CE8" w14:paraId="305EF585" w14:textId="77777777" w:rsidTr="00D82CE8">
              <w:trPr>
                <w:trHeight w:val="435"/>
              </w:trPr>
              <w:tc>
                <w:tcPr>
                  <w:tcW w:w="2260" w:type="dxa"/>
                  <w:tcBorders>
                    <w:top w:val="single" w:sz="4" w:space="0" w:color="auto"/>
                    <w:left w:val="single" w:sz="4" w:space="0" w:color="auto"/>
                    <w:bottom w:val="single" w:sz="4" w:space="0" w:color="auto"/>
                    <w:right w:val="single" w:sz="4" w:space="0" w:color="auto"/>
                  </w:tcBorders>
                  <w:shd w:val="clear" w:color="000000" w:fill="C5D1E6"/>
                  <w:vAlign w:val="center"/>
                  <w:hideMark/>
                </w:tcPr>
                <w:p w14:paraId="568016A3" w14:textId="77777777" w:rsidR="00D82CE8" w:rsidRPr="00D82CE8" w:rsidRDefault="00D82CE8" w:rsidP="00D82CE8">
                  <w:pPr>
                    <w:spacing w:after="0" w:line="240" w:lineRule="auto"/>
                    <w:jc w:val="center"/>
                    <w:rPr>
                      <w:rFonts w:ascii="Verdana" w:eastAsia="Times New Roman" w:hAnsi="Verdana" w:cs="Times New Roman"/>
                      <w:b/>
                      <w:bCs/>
                      <w:color w:val="676767"/>
                      <w:sz w:val="20"/>
                      <w:szCs w:val="20"/>
                    </w:rPr>
                  </w:pPr>
                  <w:r w:rsidRPr="00D82CE8">
                    <w:rPr>
                      <w:rFonts w:ascii="Verdana" w:eastAsia="Times New Roman" w:hAnsi="Verdana" w:cs="Times New Roman"/>
                      <w:b/>
                      <w:bCs/>
                      <w:color w:val="676767"/>
                      <w:sz w:val="20"/>
                      <w:szCs w:val="20"/>
                    </w:rPr>
                    <w:t>Name</w:t>
                  </w:r>
                </w:p>
              </w:tc>
              <w:tc>
                <w:tcPr>
                  <w:tcW w:w="1880" w:type="dxa"/>
                  <w:tcBorders>
                    <w:top w:val="single" w:sz="4" w:space="0" w:color="auto"/>
                    <w:left w:val="nil"/>
                    <w:bottom w:val="single" w:sz="4" w:space="0" w:color="auto"/>
                    <w:right w:val="single" w:sz="4" w:space="0" w:color="auto"/>
                  </w:tcBorders>
                  <w:shd w:val="clear" w:color="000000" w:fill="C5D1E6"/>
                  <w:vAlign w:val="center"/>
                  <w:hideMark/>
                </w:tcPr>
                <w:p w14:paraId="0AF1511F" w14:textId="77777777" w:rsidR="00D82CE8" w:rsidRPr="00D82CE8" w:rsidRDefault="00D82CE8" w:rsidP="00D82CE8">
                  <w:pPr>
                    <w:spacing w:after="0" w:line="240" w:lineRule="auto"/>
                    <w:jc w:val="center"/>
                    <w:rPr>
                      <w:rFonts w:ascii="Verdana" w:eastAsia="Times New Roman" w:hAnsi="Verdana" w:cs="Times New Roman"/>
                      <w:b/>
                      <w:bCs/>
                      <w:color w:val="676767"/>
                      <w:sz w:val="20"/>
                      <w:szCs w:val="20"/>
                    </w:rPr>
                  </w:pPr>
                  <w:r w:rsidRPr="00D82CE8">
                    <w:rPr>
                      <w:rFonts w:ascii="Verdana" w:eastAsia="Times New Roman" w:hAnsi="Verdana" w:cs="Times New Roman"/>
                      <w:b/>
                      <w:bCs/>
                      <w:color w:val="676767"/>
                      <w:sz w:val="20"/>
                      <w:szCs w:val="20"/>
                    </w:rPr>
                    <w:t>Location</w:t>
                  </w:r>
                </w:p>
              </w:tc>
              <w:tc>
                <w:tcPr>
                  <w:tcW w:w="3160" w:type="dxa"/>
                  <w:tcBorders>
                    <w:top w:val="single" w:sz="4" w:space="0" w:color="auto"/>
                    <w:left w:val="nil"/>
                    <w:bottom w:val="single" w:sz="4" w:space="0" w:color="auto"/>
                    <w:right w:val="single" w:sz="4" w:space="0" w:color="auto"/>
                  </w:tcBorders>
                  <w:shd w:val="clear" w:color="000000" w:fill="C5D1E6"/>
                  <w:vAlign w:val="center"/>
                  <w:hideMark/>
                </w:tcPr>
                <w:p w14:paraId="66C1C6EF" w14:textId="77777777" w:rsidR="00D82CE8" w:rsidRPr="00D82CE8" w:rsidRDefault="00D82CE8" w:rsidP="00D82CE8">
                  <w:pPr>
                    <w:spacing w:after="0" w:line="240" w:lineRule="auto"/>
                    <w:jc w:val="center"/>
                    <w:rPr>
                      <w:rFonts w:ascii="Verdana" w:eastAsia="Times New Roman" w:hAnsi="Verdana" w:cs="Times New Roman"/>
                      <w:b/>
                      <w:bCs/>
                      <w:color w:val="676767"/>
                      <w:sz w:val="20"/>
                      <w:szCs w:val="20"/>
                    </w:rPr>
                  </w:pPr>
                  <w:r w:rsidRPr="00D82CE8">
                    <w:rPr>
                      <w:rFonts w:ascii="Verdana" w:eastAsia="Times New Roman" w:hAnsi="Verdana" w:cs="Times New Roman"/>
                      <w:b/>
                      <w:bCs/>
                      <w:color w:val="676767"/>
                      <w:sz w:val="20"/>
                      <w:szCs w:val="20"/>
                    </w:rPr>
                    <w:t>Mail ID</w:t>
                  </w:r>
                </w:p>
              </w:tc>
              <w:tc>
                <w:tcPr>
                  <w:tcW w:w="2240" w:type="dxa"/>
                  <w:tcBorders>
                    <w:top w:val="single" w:sz="4" w:space="0" w:color="auto"/>
                    <w:left w:val="nil"/>
                    <w:bottom w:val="single" w:sz="4" w:space="0" w:color="auto"/>
                    <w:right w:val="single" w:sz="4" w:space="0" w:color="auto"/>
                  </w:tcBorders>
                  <w:shd w:val="clear" w:color="000000" w:fill="C5D1E6"/>
                  <w:vAlign w:val="center"/>
                  <w:hideMark/>
                </w:tcPr>
                <w:p w14:paraId="32F9B344" w14:textId="77777777" w:rsidR="00D82CE8" w:rsidRPr="00D82CE8" w:rsidRDefault="00D82CE8" w:rsidP="00D82CE8">
                  <w:pPr>
                    <w:spacing w:after="0" w:line="240" w:lineRule="auto"/>
                    <w:jc w:val="center"/>
                    <w:rPr>
                      <w:rFonts w:ascii="Verdana" w:eastAsia="Times New Roman" w:hAnsi="Verdana" w:cs="Times New Roman"/>
                      <w:b/>
                      <w:bCs/>
                      <w:color w:val="676767"/>
                      <w:sz w:val="20"/>
                      <w:szCs w:val="20"/>
                    </w:rPr>
                  </w:pPr>
                  <w:r w:rsidRPr="00D82CE8">
                    <w:rPr>
                      <w:rFonts w:ascii="Verdana" w:eastAsia="Times New Roman" w:hAnsi="Verdana" w:cs="Times New Roman"/>
                      <w:b/>
                      <w:bCs/>
                      <w:color w:val="676767"/>
                      <w:sz w:val="20"/>
                      <w:szCs w:val="20"/>
                    </w:rPr>
                    <w:t>Contact Number</w:t>
                  </w:r>
                </w:p>
              </w:tc>
            </w:tr>
            <w:tr w:rsidR="00D82CE8" w:rsidRPr="00D82CE8" w14:paraId="685587AD" w14:textId="77777777" w:rsidTr="00D82CE8">
              <w:trPr>
                <w:trHeight w:val="300"/>
              </w:trPr>
              <w:tc>
                <w:tcPr>
                  <w:tcW w:w="2260" w:type="dxa"/>
                  <w:tcBorders>
                    <w:top w:val="nil"/>
                    <w:left w:val="single" w:sz="4" w:space="0" w:color="auto"/>
                    <w:bottom w:val="single" w:sz="4" w:space="0" w:color="auto"/>
                    <w:right w:val="single" w:sz="4" w:space="0" w:color="auto"/>
                  </w:tcBorders>
                  <w:shd w:val="clear" w:color="auto" w:fill="auto"/>
                  <w:vAlign w:val="center"/>
                  <w:hideMark/>
                </w:tcPr>
                <w:p w14:paraId="45FDC389" w14:textId="77777777" w:rsidR="00D82CE8" w:rsidRPr="00D82CE8" w:rsidRDefault="00D82CE8" w:rsidP="00D82CE8">
                  <w:pPr>
                    <w:spacing w:after="0" w:line="240" w:lineRule="auto"/>
                    <w:jc w:val="both"/>
                    <w:rPr>
                      <w:rFonts w:ascii="Calibri" w:eastAsia="Times New Roman" w:hAnsi="Calibri" w:cs="Times New Roman"/>
                      <w:color w:val="676767"/>
                      <w:sz w:val="20"/>
                      <w:szCs w:val="20"/>
                    </w:rPr>
                  </w:pPr>
                  <w:r w:rsidRPr="00D82CE8">
                    <w:rPr>
                      <w:rFonts w:ascii="Calibri" w:eastAsia="Times New Roman" w:hAnsi="Calibri" w:cs="Times New Roman"/>
                      <w:color w:val="676767"/>
                      <w:sz w:val="20"/>
                      <w:szCs w:val="20"/>
                    </w:rPr>
                    <w:t>Trishul</w:t>
                  </w:r>
                </w:p>
              </w:tc>
              <w:tc>
                <w:tcPr>
                  <w:tcW w:w="1880" w:type="dxa"/>
                  <w:tcBorders>
                    <w:top w:val="nil"/>
                    <w:left w:val="nil"/>
                    <w:bottom w:val="single" w:sz="4" w:space="0" w:color="auto"/>
                    <w:right w:val="single" w:sz="4" w:space="0" w:color="auto"/>
                  </w:tcBorders>
                  <w:shd w:val="clear" w:color="auto" w:fill="auto"/>
                  <w:vAlign w:val="center"/>
                  <w:hideMark/>
                </w:tcPr>
                <w:p w14:paraId="33433EE7" w14:textId="77777777" w:rsidR="00D82CE8" w:rsidRPr="00D82CE8" w:rsidRDefault="00D82CE8" w:rsidP="00D82CE8">
                  <w:pPr>
                    <w:spacing w:after="0" w:line="240" w:lineRule="auto"/>
                    <w:jc w:val="both"/>
                    <w:rPr>
                      <w:rFonts w:ascii="Calibri" w:eastAsia="Times New Roman" w:hAnsi="Calibri" w:cs="Times New Roman"/>
                      <w:color w:val="676767"/>
                      <w:sz w:val="20"/>
                      <w:szCs w:val="20"/>
                    </w:rPr>
                  </w:pPr>
                  <w:r w:rsidRPr="00D82CE8">
                    <w:rPr>
                      <w:rFonts w:ascii="Calibri" w:eastAsia="Times New Roman" w:hAnsi="Calibri" w:cs="Times New Roman"/>
                      <w:color w:val="676767"/>
                      <w:sz w:val="20"/>
                      <w:szCs w:val="20"/>
                    </w:rPr>
                    <w:t>Bangalore</w:t>
                  </w:r>
                </w:p>
              </w:tc>
              <w:tc>
                <w:tcPr>
                  <w:tcW w:w="3160" w:type="dxa"/>
                  <w:tcBorders>
                    <w:top w:val="nil"/>
                    <w:left w:val="nil"/>
                    <w:bottom w:val="single" w:sz="4" w:space="0" w:color="auto"/>
                    <w:right w:val="single" w:sz="4" w:space="0" w:color="auto"/>
                  </w:tcBorders>
                  <w:shd w:val="clear" w:color="auto" w:fill="auto"/>
                  <w:vAlign w:val="center"/>
                  <w:hideMark/>
                </w:tcPr>
                <w:p w14:paraId="35D0FF7B" w14:textId="77777777" w:rsidR="00D82CE8" w:rsidRPr="00D82CE8" w:rsidRDefault="00D82CE8" w:rsidP="00D82CE8">
                  <w:pPr>
                    <w:spacing w:after="0" w:line="240" w:lineRule="auto"/>
                    <w:jc w:val="both"/>
                    <w:rPr>
                      <w:rFonts w:ascii="Calibri" w:eastAsia="Times New Roman" w:hAnsi="Calibri" w:cs="Times New Roman"/>
                      <w:color w:val="0563C1"/>
                      <w:sz w:val="20"/>
                      <w:szCs w:val="20"/>
                      <w:u w:val="single"/>
                    </w:rPr>
                  </w:pPr>
                  <w:hyperlink r:id="rId12" w:history="1">
                    <w:r w:rsidRPr="00D82CE8">
                      <w:rPr>
                        <w:rFonts w:ascii="Calibri" w:eastAsia="Times New Roman" w:hAnsi="Calibri" w:cs="Times New Roman"/>
                        <w:color w:val="0563C1"/>
                        <w:sz w:val="20"/>
                        <w:szCs w:val="20"/>
                        <w:u w:val="single"/>
                      </w:rPr>
                      <w:t>trishul@sundaramfinance.in</w:t>
                    </w:r>
                  </w:hyperlink>
                </w:p>
              </w:tc>
              <w:tc>
                <w:tcPr>
                  <w:tcW w:w="2240" w:type="dxa"/>
                  <w:tcBorders>
                    <w:top w:val="nil"/>
                    <w:left w:val="nil"/>
                    <w:bottom w:val="single" w:sz="4" w:space="0" w:color="auto"/>
                    <w:right w:val="single" w:sz="4" w:space="0" w:color="auto"/>
                  </w:tcBorders>
                  <w:shd w:val="clear" w:color="auto" w:fill="auto"/>
                  <w:vAlign w:val="center"/>
                  <w:hideMark/>
                </w:tcPr>
                <w:p w14:paraId="2DE5EA2D" w14:textId="77777777" w:rsidR="00D82CE8" w:rsidRPr="00D82CE8" w:rsidRDefault="00D82CE8" w:rsidP="00D82CE8">
                  <w:pPr>
                    <w:spacing w:after="0" w:line="240" w:lineRule="auto"/>
                    <w:jc w:val="center"/>
                    <w:rPr>
                      <w:rFonts w:ascii="Calibri" w:eastAsia="Times New Roman" w:hAnsi="Calibri" w:cs="Times New Roman"/>
                      <w:color w:val="676767"/>
                      <w:sz w:val="20"/>
                      <w:szCs w:val="20"/>
                    </w:rPr>
                  </w:pPr>
                  <w:r w:rsidRPr="00D82CE8">
                    <w:rPr>
                      <w:rFonts w:ascii="Calibri" w:eastAsia="Times New Roman" w:hAnsi="Calibri" w:cs="Times New Roman"/>
                      <w:color w:val="676767"/>
                      <w:sz w:val="20"/>
                      <w:szCs w:val="20"/>
                    </w:rPr>
                    <w:t>094409 09856</w:t>
                  </w:r>
                </w:p>
              </w:tc>
            </w:tr>
            <w:tr w:rsidR="00D82CE8" w:rsidRPr="00D82CE8" w14:paraId="73CC658C" w14:textId="77777777" w:rsidTr="00D82CE8">
              <w:trPr>
                <w:trHeight w:val="300"/>
              </w:trPr>
              <w:tc>
                <w:tcPr>
                  <w:tcW w:w="2260" w:type="dxa"/>
                  <w:tcBorders>
                    <w:top w:val="nil"/>
                    <w:left w:val="single" w:sz="4" w:space="0" w:color="auto"/>
                    <w:bottom w:val="single" w:sz="4" w:space="0" w:color="auto"/>
                    <w:right w:val="single" w:sz="4" w:space="0" w:color="auto"/>
                  </w:tcBorders>
                  <w:shd w:val="clear" w:color="auto" w:fill="auto"/>
                  <w:vAlign w:val="center"/>
                  <w:hideMark/>
                </w:tcPr>
                <w:p w14:paraId="3442F50E" w14:textId="77777777" w:rsidR="00D82CE8" w:rsidRPr="00D82CE8" w:rsidRDefault="00D82CE8" w:rsidP="00D82CE8">
                  <w:pPr>
                    <w:spacing w:after="0" w:line="240" w:lineRule="auto"/>
                    <w:jc w:val="both"/>
                    <w:rPr>
                      <w:rFonts w:ascii="Calibri" w:eastAsia="Times New Roman" w:hAnsi="Calibri" w:cs="Times New Roman"/>
                      <w:color w:val="676767"/>
                      <w:sz w:val="20"/>
                      <w:szCs w:val="20"/>
                    </w:rPr>
                  </w:pPr>
                  <w:r w:rsidRPr="00D82CE8">
                    <w:rPr>
                      <w:rFonts w:ascii="Calibri" w:eastAsia="Times New Roman" w:hAnsi="Calibri" w:cs="Times New Roman"/>
                      <w:color w:val="676767"/>
                      <w:sz w:val="20"/>
                      <w:szCs w:val="20"/>
                    </w:rPr>
                    <w:t>Ketan Thakur</w:t>
                  </w:r>
                </w:p>
              </w:tc>
              <w:tc>
                <w:tcPr>
                  <w:tcW w:w="1880" w:type="dxa"/>
                  <w:tcBorders>
                    <w:top w:val="nil"/>
                    <w:left w:val="nil"/>
                    <w:bottom w:val="single" w:sz="4" w:space="0" w:color="auto"/>
                    <w:right w:val="single" w:sz="4" w:space="0" w:color="auto"/>
                  </w:tcBorders>
                  <w:shd w:val="clear" w:color="auto" w:fill="auto"/>
                  <w:vAlign w:val="center"/>
                  <w:hideMark/>
                </w:tcPr>
                <w:p w14:paraId="07BFE192" w14:textId="77777777" w:rsidR="00D82CE8" w:rsidRPr="00D82CE8" w:rsidRDefault="00D82CE8" w:rsidP="00D82CE8">
                  <w:pPr>
                    <w:spacing w:after="0" w:line="240" w:lineRule="auto"/>
                    <w:jc w:val="both"/>
                    <w:rPr>
                      <w:rFonts w:ascii="Calibri" w:eastAsia="Times New Roman" w:hAnsi="Calibri" w:cs="Times New Roman"/>
                      <w:color w:val="676767"/>
                      <w:sz w:val="20"/>
                      <w:szCs w:val="20"/>
                    </w:rPr>
                  </w:pPr>
                  <w:r w:rsidRPr="00D82CE8">
                    <w:rPr>
                      <w:rFonts w:ascii="Calibri" w:eastAsia="Times New Roman" w:hAnsi="Calibri" w:cs="Times New Roman"/>
                      <w:color w:val="676767"/>
                      <w:sz w:val="20"/>
                      <w:szCs w:val="20"/>
                    </w:rPr>
                    <w:t>Gurgaon/Delhi</w:t>
                  </w:r>
                </w:p>
              </w:tc>
              <w:tc>
                <w:tcPr>
                  <w:tcW w:w="3160" w:type="dxa"/>
                  <w:tcBorders>
                    <w:top w:val="nil"/>
                    <w:left w:val="nil"/>
                    <w:bottom w:val="single" w:sz="4" w:space="0" w:color="auto"/>
                    <w:right w:val="single" w:sz="4" w:space="0" w:color="auto"/>
                  </w:tcBorders>
                  <w:shd w:val="clear" w:color="auto" w:fill="auto"/>
                  <w:vAlign w:val="center"/>
                  <w:hideMark/>
                </w:tcPr>
                <w:p w14:paraId="673D5C74" w14:textId="77777777" w:rsidR="00D82CE8" w:rsidRPr="00D82CE8" w:rsidRDefault="00D82CE8" w:rsidP="00D82CE8">
                  <w:pPr>
                    <w:spacing w:after="0" w:line="240" w:lineRule="auto"/>
                    <w:jc w:val="both"/>
                    <w:rPr>
                      <w:rFonts w:ascii="Calibri" w:eastAsia="Times New Roman" w:hAnsi="Calibri" w:cs="Times New Roman"/>
                      <w:color w:val="0072BC"/>
                      <w:sz w:val="20"/>
                      <w:szCs w:val="20"/>
                    </w:rPr>
                  </w:pPr>
                  <w:r w:rsidRPr="00D82CE8">
                    <w:rPr>
                      <w:rFonts w:ascii="Calibri" w:eastAsia="Times New Roman" w:hAnsi="Calibri" w:cs="Times New Roman"/>
                      <w:color w:val="0072BC"/>
                      <w:sz w:val="20"/>
                      <w:szCs w:val="20"/>
                    </w:rPr>
                    <w:t>ketanthakur@sundaramfinance.in</w:t>
                  </w:r>
                </w:p>
              </w:tc>
              <w:tc>
                <w:tcPr>
                  <w:tcW w:w="2240" w:type="dxa"/>
                  <w:tcBorders>
                    <w:top w:val="nil"/>
                    <w:left w:val="nil"/>
                    <w:bottom w:val="single" w:sz="4" w:space="0" w:color="auto"/>
                    <w:right w:val="single" w:sz="4" w:space="0" w:color="auto"/>
                  </w:tcBorders>
                  <w:shd w:val="clear" w:color="auto" w:fill="auto"/>
                  <w:vAlign w:val="center"/>
                  <w:hideMark/>
                </w:tcPr>
                <w:p w14:paraId="3810B3BF" w14:textId="77777777" w:rsidR="00D82CE8" w:rsidRPr="00D82CE8" w:rsidRDefault="00D82CE8" w:rsidP="00D82CE8">
                  <w:pPr>
                    <w:spacing w:after="0" w:line="240" w:lineRule="auto"/>
                    <w:jc w:val="center"/>
                    <w:rPr>
                      <w:rFonts w:ascii="Calibri" w:eastAsia="Times New Roman" w:hAnsi="Calibri" w:cs="Times New Roman"/>
                      <w:color w:val="676767"/>
                      <w:sz w:val="20"/>
                      <w:szCs w:val="20"/>
                    </w:rPr>
                  </w:pPr>
                  <w:r w:rsidRPr="00D82CE8">
                    <w:rPr>
                      <w:rFonts w:ascii="Calibri" w:eastAsia="Times New Roman" w:hAnsi="Calibri" w:cs="Times New Roman"/>
                      <w:color w:val="676767"/>
                      <w:sz w:val="20"/>
                      <w:szCs w:val="20"/>
                    </w:rPr>
                    <w:t>081300 90703</w:t>
                  </w:r>
                </w:p>
              </w:tc>
            </w:tr>
            <w:tr w:rsidR="00D82CE8" w:rsidRPr="00D82CE8" w14:paraId="79A8D869" w14:textId="77777777" w:rsidTr="00D82CE8">
              <w:trPr>
                <w:trHeight w:val="300"/>
              </w:trPr>
              <w:tc>
                <w:tcPr>
                  <w:tcW w:w="2260" w:type="dxa"/>
                  <w:tcBorders>
                    <w:top w:val="nil"/>
                    <w:left w:val="single" w:sz="4" w:space="0" w:color="auto"/>
                    <w:bottom w:val="single" w:sz="4" w:space="0" w:color="auto"/>
                    <w:right w:val="single" w:sz="4" w:space="0" w:color="auto"/>
                  </w:tcBorders>
                  <w:shd w:val="clear" w:color="auto" w:fill="auto"/>
                  <w:vAlign w:val="center"/>
                  <w:hideMark/>
                </w:tcPr>
                <w:p w14:paraId="0360B0C9" w14:textId="77777777" w:rsidR="00D82CE8" w:rsidRPr="00D82CE8" w:rsidRDefault="00D82CE8" w:rsidP="00D82CE8">
                  <w:pPr>
                    <w:spacing w:after="0" w:line="240" w:lineRule="auto"/>
                    <w:jc w:val="both"/>
                    <w:rPr>
                      <w:rFonts w:ascii="Calibri" w:eastAsia="Times New Roman" w:hAnsi="Calibri" w:cs="Times New Roman"/>
                      <w:color w:val="676767"/>
                      <w:sz w:val="20"/>
                      <w:szCs w:val="20"/>
                    </w:rPr>
                  </w:pPr>
                  <w:r w:rsidRPr="00D82CE8">
                    <w:rPr>
                      <w:rFonts w:ascii="Calibri" w:eastAsia="Times New Roman" w:hAnsi="Calibri" w:cs="Times New Roman"/>
                      <w:color w:val="676767"/>
                      <w:sz w:val="20"/>
                      <w:szCs w:val="20"/>
                    </w:rPr>
                    <w:t>Vidya Narayanan AV</w:t>
                  </w:r>
                </w:p>
              </w:tc>
              <w:tc>
                <w:tcPr>
                  <w:tcW w:w="1880" w:type="dxa"/>
                  <w:tcBorders>
                    <w:top w:val="nil"/>
                    <w:left w:val="nil"/>
                    <w:bottom w:val="single" w:sz="4" w:space="0" w:color="auto"/>
                    <w:right w:val="single" w:sz="4" w:space="0" w:color="auto"/>
                  </w:tcBorders>
                  <w:shd w:val="clear" w:color="auto" w:fill="auto"/>
                  <w:vAlign w:val="center"/>
                  <w:hideMark/>
                </w:tcPr>
                <w:p w14:paraId="2F6ACB7D" w14:textId="77777777" w:rsidR="00D82CE8" w:rsidRPr="00D82CE8" w:rsidRDefault="00D82CE8" w:rsidP="00D82CE8">
                  <w:pPr>
                    <w:spacing w:after="0" w:line="240" w:lineRule="auto"/>
                    <w:jc w:val="both"/>
                    <w:rPr>
                      <w:rFonts w:ascii="Calibri" w:eastAsia="Times New Roman" w:hAnsi="Calibri" w:cs="Times New Roman"/>
                      <w:color w:val="676767"/>
                      <w:sz w:val="20"/>
                      <w:szCs w:val="20"/>
                    </w:rPr>
                  </w:pPr>
                  <w:r w:rsidRPr="00D82CE8">
                    <w:rPr>
                      <w:rFonts w:ascii="Calibri" w:eastAsia="Times New Roman" w:hAnsi="Calibri" w:cs="Times New Roman"/>
                      <w:color w:val="676767"/>
                      <w:sz w:val="20"/>
                      <w:szCs w:val="20"/>
                    </w:rPr>
                    <w:t>Hyderabad</w:t>
                  </w:r>
                </w:p>
              </w:tc>
              <w:tc>
                <w:tcPr>
                  <w:tcW w:w="3160" w:type="dxa"/>
                  <w:tcBorders>
                    <w:top w:val="nil"/>
                    <w:left w:val="nil"/>
                    <w:bottom w:val="single" w:sz="4" w:space="0" w:color="auto"/>
                    <w:right w:val="single" w:sz="4" w:space="0" w:color="auto"/>
                  </w:tcBorders>
                  <w:shd w:val="clear" w:color="auto" w:fill="auto"/>
                  <w:vAlign w:val="center"/>
                  <w:hideMark/>
                </w:tcPr>
                <w:p w14:paraId="2F0D444A" w14:textId="77777777" w:rsidR="00D82CE8" w:rsidRPr="00D82CE8" w:rsidRDefault="00D82CE8" w:rsidP="00D82CE8">
                  <w:pPr>
                    <w:spacing w:after="0" w:line="240" w:lineRule="auto"/>
                    <w:jc w:val="both"/>
                    <w:rPr>
                      <w:rFonts w:ascii="Calibri" w:eastAsia="Times New Roman" w:hAnsi="Calibri" w:cs="Times New Roman"/>
                      <w:color w:val="0563C1"/>
                      <w:sz w:val="20"/>
                      <w:szCs w:val="20"/>
                      <w:u w:val="single"/>
                    </w:rPr>
                  </w:pPr>
                  <w:hyperlink r:id="rId13" w:history="1">
                    <w:r w:rsidRPr="00D82CE8">
                      <w:rPr>
                        <w:rFonts w:ascii="Calibri" w:eastAsia="Times New Roman" w:hAnsi="Calibri" w:cs="Times New Roman"/>
                        <w:color w:val="0563C1"/>
                        <w:sz w:val="20"/>
                        <w:szCs w:val="20"/>
                        <w:u w:val="single"/>
                      </w:rPr>
                      <w:t>avvnarayanan@sundaramfinance.in</w:t>
                    </w:r>
                  </w:hyperlink>
                </w:p>
              </w:tc>
              <w:tc>
                <w:tcPr>
                  <w:tcW w:w="2240" w:type="dxa"/>
                  <w:tcBorders>
                    <w:top w:val="nil"/>
                    <w:left w:val="nil"/>
                    <w:bottom w:val="single" w:sz="4" w:space="0" w:color="auto"/>
                    <w:right w:val="single" w:sz="4" w:space="0" w:color="auto"/>
                  </w:tcBorders>
                  <w:shd w:val="clear" w:color="auto" w:fill="auto"/>
                  <w:vAlign w:val="center"/>
                  <w:hideMark/>
                </w:tcPr>
                <w:p w14:paraId="2B01A878" w14:textId="77777777" w:rsidR="00D82CE8" w:rsidRPr="00D82CE8" w:rsidRDefault="00D82CE8" w:rsidP="00D82CE8">
                  <w:pPr>
                    <w:spacing w:after="0" w:line="240" w:lineRule="auto"/>
                    <w:jc w:val="center"/>
                    <w:rPr>
                      <w:rFonts w:ascii="Calibri" w:eastAsia="Times New Roman" w:hAnsi="Calibri" w:cs="Times New Roman"/>
                      <w:color w:val="676767"/>
                      <w:sz w:val="20"/>
                      <w:szCs w:val="20"/>
                    </w:rPr>
                  </w:pPr>
                  <w:r w:rsidRPr="00D82CE8">
                    <w:rPr>
                      <w:rFonts w:ascii="Calibri" w:eastAsia="Times New Roman" w:hAnsi="Calibri" w:cs="Times New Roman"/>
                      <w:color w:val="676767"/>
                      <w:sz w:val="20"/>
                      <w:szCs w:val="20"/>
                    </w:rPr>
                    <w:t>094808 35285</w:t>
                  </w:r>
                </w:p>
              </w:tc>
            </w:tr>
            <w:tr w:rsidR="00D82CE8" w:rsidRPr="00D82CE8" w14:paraId="42494650" w14:textId="77777777" w:rsidTr="00D82CE8">
              <w:trPr>
                <w:trHeight w:val="300"/>
              </w:trPr>
              <w:tc>
                <w:tcPr>
                  <w:tcW w:w="2260" w:type="dxa"/>
                  <w:tcBorders>
                    <w:top w:val="nil"/>
                    <w:left w:val="single" w:sz="4" w:space="0" w:color="auto"/>
                    <w:bottom w:val="single" w:sz="4" w:space="0" w:color="auto"/>
                    <w:right w:val="single" w:sz="4" w:space="0" w:color="auto"/>
                  </w:tcBorders>
                  <w:shd w:val="clear" w:color="auto" w:fill="auto"/>
                  <w:vAlign w:val="center"/>
                  <w:hideMark/>
                </w:tcPr>
                <w:p w14:paraId="5D8325A9" w14:textId="77777777" w:rsidR="00D82CE8" w:rsidRPr="00D82CE8" w:rsidRDefault="00D82CE8" w:rsidP="00D82CE8">
                  <w:pPr>
                    <w:spacing w:after="0" w:line="240" w:lineRule="auto"/>
                    <w:jc w:val="both"/>
                    <w:rPr>
                      <w:rFonts w:ascii="Calibri" w:eastAsia="Times New Roman" w:hAnsi="Calibri" w:cs="Times New Roman"/>
                      <w:color w:val="676767"/>
                      <w:sz w:val="20"/>
                      <w:szCs w:val="20"/>
                    </w:rPr>
                  </w:pPr>
                  <w:r w:rsidRPr="00D82CE8">
                    <w:rPr>
                      <w:rFonts w:ascii="Calibri" w:eastAsia="Times New Roman" w:hAnsi="Calibri" w:cs="Times New Roman"/>
                      <w:color w:val="676767"/>
                      <w:sz w:val="20"/>
                      <w:szCs w:val="20"/>
                    </w:rPr>
                    <w:t>Ganesan B</w:t>
                  </w:r>
                </w:p>
              </w:tc>
              <w:tc>
                <w:tcPr>
                  <w:tcW w:w="1880" w:type="dxa"/>
                  <w:tcBorders>
                    <w:top w:val="nil"/>
                    <w:left w:val="nil"/>
                    <w:bottom w:val="single" w:sz="4" w:space="0" w:color="auto"/>
                    <w:right w:val="single" w:sz="4" w:space="0" w:color="auto"/>
                  </w:tcBorders>
                  <w:shd w:val="clear" w:color="auto" w:fill="auto"/>
                  <w:vAlign w:val="center"/>
                  <w:hideMark/>
                </w:tcPr>
                <w:p w14:paraId="0B48A56E" w14:textId="77777777" w:rsidR="00D82CE8" w:rsidRPr="00D82CE8" w:rsidRDefault="00D82CE8" w:rsidP="00D82CE8">
                  <w:pPr>
                    <w:spacing w:after="0" w:line="240" w:lineRule="auto"/>
                    <w:jc w:val="both"/>
                    <w:rPr>
                      <w:rFonts w:ascii="Calibri" w:eastAsia="Times New Roman" w:hAnsi="Calibri" w:cs="Times New Roman"/>
                      <w:color w:val="676767"/>
                      <w:sz w:val="20"/>
                      <w:szCs w:val="20"/>
                    </w:rPr>
                  </w:pPr>
                  <w:r w:rsidRPr="00D82CE8">
                    <w:rPr>
                      <w:rFonts w:ascii="Calibri" w:eastAsia="Times New Roman" w:hAnsi="Calibri" w:cs="Times New Roman"/>
                      <w:color w:val="676767"/>
                      <w:sz w:val="20"/>
                      <w:szCs w:val="20"/>
                    </w:rPr>
                    <w:t>Other Locations</w:t>
                  </w:r>
                </w:p>
              </w:tc>
              <w:tc>
                <w:tcPr>
                  <w:tcW w:w="3160" w:type="dxa"/>
                  <w:tcBorders>
                    <w:top w:val="nil"/>
                    <w:left w:val="nil"/>
                    <w:bottom w:val="single" w:sz="4" w:space="0" w:color="auto"/>
                    <w:right w:val="single" w:sz="4" w:space="0" w:color="auto"/>
                  </w:tcBorders>
                  <w:shd w:val="clear" w:color="auto" w:fill="auto"/>
                  <w:vAlign w:val="center"/>
                  <w:hideMark/>
                </w:tcPr>
                <w:p w14:paraId="7CFF290D" w14:textId="77777777" w:rsidR="00D82CE8" w:rsidRPr="00D82CE8" w:rsidRDefault="00D82CE8" w:rsidP="00D82CE8">
                  <w:pPr>
                    <w:spacing w:after="0" w:line="240" w:lineRule="auto"/>
                    <w:jc w:val="both"/>
                    <w:rPr>
                      <w:rFonts w:ascii="Calibri" w:eastAsia="Times New Roman" w:hAnsi="Calibri" w:cs="Times New Roman"/>
                      <w:color w:val="0563C1"/>
                      <w:sz w:val="20"/>
                      <w:szCs w:val="20"/>
                      <w:u w:val="single"/>
                    </w:rPr>
                  </w:pPr>
                  <w:hyperlink r:id="rId14" w:history="1">
                    <w:r w:rsidRPr="00D82CE8">
                      <w:rPr>
                        <w:rFonts w:ascii="Calibri" w:eastAsia="Times New Roman" w:hAnsi="Calibri" w:cs="Times New Roman"/>
                        <w:color w:val="0563C1"/>
                        <w:sz w:val="20"/>
                        <w:szCs w:val="20"/>
                        <w:u w:val="single"/>
                      </w:rPr>
                      <w:t>bganesan@sundaramfinance.in</w:t>
                    </w:r>
                  </w:hyperlink>
                </w:p>
              </w:tc>
              <w:tc>
                <w:tcPr>
                  <w:tcW w:w="2240" w:type="dxa"/>
                  <w:tcBorders>
                    <w:top w:val="nil"/>
                    <w:left w:val="nil"/>
                    <w:bottom w:val="single" w:sz="4" w:space="0" w:color="auto"/>
                    <w:right w:val="single" w:sz="4" w:space="0" w:color="auto"/>
                  </w:tcBorders>
                  <w:shd w:val="clear" w:color="auto" w:fill="auto"/>
                  <w:vAlign w:val="center"/>
                  <w:hideMark/>
                </w:tcPr>
                <w:p w14:paraId="63D6CB7C" w14:textId="77777777" w:rsidR="00D82CE8" w:rsidRPr="00D82CE8" w:rsidRDefault="00D82CE8" w:rsidP="00D82CE8">
                  <w:pPr>
                    <w:spacing w:after="0" w:line="240" w:lineRule="auto"/>
                    <w:jc w:val="both"/>
                    <w:rPr>
                      <w:rFonts w:ascii="Calibri" w:eastAsia="Times New Roman" w:hAnsi="Calibri" w:cs="Times New Roman"/>
                      <w:color w:val="676767"/>
                      <w:sz w:val="20"/>
                      <w:szCs w:val="20"/>
                    </w:rPr>
                  </w:pPr>
                  <w:r w:rsidRPr="00D82CE8">
                    <w:rPr>
                      <w:rFonts w:ascii="Calibri" w:eastAsia="Times New Roman" w:hAnsi="Calibri" w:cs="Times New Roman"/>
                      <w:color w:val="676767"/>
                      <w:sz w:val="20"/>
                      <w:szCs w:val="20"/>
                    </w:rPr>
                    <w:t> </w:t>
                  </w:r>
                </w:p>
              </w:tc>
            </w:tr>
          </w:tbl>
          <w:p w14:paraId="45AFEAAB" w14:textId="77777777" w:rsidR="000D1595" w:rsidRDefault="000D1595">
            <w:pPr>
              <w:spacing w:after="0" w:line="240" w:lineRule="auto"/>
              <w:jc w:val="both"/>
              <w:rPr>
                <w:rFonts w:ascii="Verdana" w:eastAsia="Times New Roman" w:hAnsi="Verdana" w:cs="Times New Roman"/>
                <w:color w:val="676767"/>
                <w:sz w:val="16"/>
                <w:szCs w:val="16"/>
              </w:rPr>
            </w:pPr>
          </w:p>
          <w:p w14:paraId="59061473" w14:textId="77777777" w:rsidR="00D82CE8" w:rsidRDefault="00D82CE8" w:rsidP="00D82CE8">
            <w:pPr>
              <w:spacing w:after="0" w:line="240" w:lineRule="auto"/>
              <w:jc w:val="both"/>
              <w:rPr>
                <w:rFonts w:ascii="Verdana" w:eastAsia="Times New Roman" w:hAnsi="Verdana" w:cs="Times New Roman"/>
                <w:b/>
                <w:bCs/>
                <w:color w:val="676767"/>
                <w:sz w:val="16"/>
                <w:szCs w:val="16"/>
              </w:rPr>
            </w:pPr>
          </w:p>
          <w:p w14:paraId="45AFEAC6" w14:textId="77777777" w:rsidR="000D1595" w:rsidRDefault="000D1595" w:rsidP="00D82CE8">
            <w:pPr>
              <w:spacing w:after="0" w:line="240" w:lineRule="auto"/>
              <w:jc w:val="both"/>
              <w:rPr>
                <w:rFonts w:ascii="Verdana" w:eastAsia="Times New Roman" w:hAnsi="Verdana" w:cs="Times New Roman"/>
                <w:color w:val="676767"/>
                <w:sz w:val="16"/>
                <w:szCs w:val="16"/>
              </w:rPr>
            </w:pPr>
            <w:r>
              <w:rPr>
                <w:rFonts w:ascii="Verdana" w:eastAsia="Times New Roman" w:hAnsi="Verdana" w:cs="Times New Roman"/>
                <w:b/>
                <w:bCs/>
                <w:color w:val="676767"/>
                <w:sz w:val="16"/>
                <w:szCs w:val="16"/>
              </w:rPr>
              <w:t>Vehicle Registration</w:t>
            </w:r>
          </w:p>
          <w:p w14:paraId="45AFEAC7" w14:textId="77777777" w:rsidR="000D1595" w:rsidRDefault="000D1595">
            <w:pPr>
              <w:spacing w:before="100" w:beforeAutospacing="1" w:after="100" w:afterAutospacing="1" w:line="240" w:lineRule="auto"/>
              <w:jc w:val="both"/>
              <w:rPr>
                <w:rFonts w:ascii="Verdana" w:eastAsia="Times New Roman" w:hAnsi="Verdana" w:cs="Times New Roman"/>
                <w:color w:val="676767"/>
                <w:sz w:val="16"/>
                <w:szCs w:val="16"/>
              </w:rPr>
            </w:pPr>
            <w:r>
              <w:rPr>
                <w:rFonts w:ascii="Verdana" w:eastAsia="Times New Roman" w:hAnsi="Verdana" w:cs="Times New Roman"/>
                <w:color w:val="676767"/>
                <w:sz w:val="16"/>
                <w:szCs w:val="16"/>
              </w:rPr>
              <w:t>The financier issues Form 20 for vehicle registration to the HR team. The team will facilitate signatures of the Microsoft authorized signatory. Signed forms are given to the employee. The employee is responsible to get the vehicle registered within the stipulated RTA Guidelines.</w:t>
            </w:r>
          </w:p>
          <w:p w14:paraId="45AFEAC8" w14:textId="77777777" w:rsidR="000D1595" w:rsidRDefault="000D1595">
            <w:pPr>
              <w:spacing w:before="100" w:beforeAutospacing="1" w:after="100" w:afterAutospacing="1" w:line="240" w:lineRule="auto"/>
              <w:jc w:val="both"/>
              <w:rPr>
                <w:rFonts w:ascii="Verdana" w:eastAsia="Times New Roman" w:hAnsi="Verdana" w:cs="Times New Roman"/>
                <w:color w:val="676767"/>
                <w:sz w:val="16"/>
                <w:szCs w:val="16"/>
              </w:rPr>
            </w:pPr>
            <w:r>
              <w:rPr>
                <w:rFonts w:ascii="Verdana" w:eastAsia="Times New Roman" w:hAnsi="Verdana" w:cs="Times New Roman"/>
                <w:b/>
                <w:bCs/>
                <w:color w:val="676767"/>
                <w:sz w:val="16"/>
                <w:szCs w:val="16"/>
              </w:rPr>
              <w:t>Rights and Obligations of the Employee</w:t>
            </w:r>
          </w:p>
          <w:p w14:paraId="45AFEAC9" w14:textId="77777777" w:rsidR="000D1595" w:rsidRDefault="000D1595">
            <w:pPr>
              <w:spacing w:before="100" w:beforeAutospacing="1" w:after="100" w:afterAutospacing="1" w:line="240" w:lineRule="auto"/>
              <w:jc w:val="both"/>
              <w:rPr>
                <w:rFonts w:ascii="Verdana" w:eastAsia="Times New Roman" w:hAnsi="Verdana" w:cs="Times New Roman"/>
                <w:color w:val="676767"/>
                <w:sz w:val="16"/>
                <w:szCs w:val="16"/>
              </w:rPr>
            </w:pPr>
            <w:r>
              <w:rPr>
                <w:rFonts w:ascii="Verdana" w:eastAsia="Times New Roman" w:hAnsi="Verdana" w:cs="Times New Roman"/>
                <w:color w:val="676767"/>
                <w:sz w:val="16"/>
                <w:szCs w:val="16"/>
              </w:rPr>
              <w:t xml:space="preserve">The use of the company-leased car without a valid driver's license is prohibited. The employee must immediately notify </w:t>
            </w:r>
            <w:hyperlink r:id="rId15" w:history="1">
              <w:r>
                <w:rPr>
                  <w:rStyle w:val="Hyperlink"/>
                  <w:rFonts w:ascii="Verdana" w:eastAsia="Times New Roman" w:hAnsi="Verdana" w:cs="Times New Roman"/>
                  <w:color w:val="0072BC"/>
                  <w:sz w:val="16"/>
                  <w:szCs w:val="16"/>
                  <w:u w:val="none"/>
                </w:rPr>
                <w:t>AskHR</w:t>
              </w:r>
            </w:hyperlink>
            <w:r>
              <w:rPr>
                <w:rFonts w:ascii="Verdana" w:eastAsia="Times New Roman" w:hAnsi="Verdana" w:cs="Times New Roman"/>
                <w:color w:val="676767"/>
                <w:sz w:val="16"/>
                <w:szCs w:val="16"/>
              </w:rPr>
              <w:t xml:space="preserve"> if his or her driver's license is temporarily or permanently revoked. A revocation of the driver's license, even on a temporary basis, entitles Microsoft to revoke the permission to use the company car. Microsoft requests that the employee, at all times, can submit proof of a valid driver's license.</w:t>
            </w:r>
          </w:p>
          <w:p w14:paraId="45AFEACA" w14:textId="77777777" w:rsidR="000D1595" w:rsidRDefault="000D1595">
            <w:pPr>
              <w:spacing w:before="100" w:beforeAutospacing="1" w:after="100" w:afterAutospacing="1" w:line="240" w:lineRule="auto"/>
              <w:jc w:val="both"/>
              <w:rPr>
                <w:rFonts w:ascii="Verdana" w:eastAsia="Times New Roman" w:hAnsi="Verdana" w:cs="Times New Roman"/>
                <w:color w:val="676767"/>
                <w:sz w:val="16"/>
                <w:szCs w:val="16"/>
              </w:rPr>
            </w:pPr>
            <w:r>
              <w:rPr>
                <w:rFonts w:ascii="Verdana" w:eastAsia="Times New Roman" w:hAnsi="Verdana" w:cs="Times New Roman"/>
                <w:color w:val="676767"/>
                <w:sz w:val="16"/>
                <w:szCs w:val="16"/>
              </w:rPr>
              <w:t>The company-leased car may not be rented, lent, pledged, and used for purposes of a sideline occupation or for commercial purposes of third parties or for any motor sports events.</w:t>
            </w:r>
          </w:p>
          <w:p w14:paraId="45AFEACB" w14:textId="77777777" w:rsidR="000D1595" w:rsidRDefault="000D1595">
            <w:pPr>
              <w:spacing w:before="100" w:beforeAutospacing="1" w:after="100" w:afterAutospacing="1" w:line="240" w:lineRule="auto"/>
              <w:jc w:val="both"/>
              <w:rPr>
                <w:rFonts w:ascii="Verdana" w:eastAsia="Times New Roman" w:hAnsi="Verdana" w:cs="Times New Roman"/>
                <w:color w:val="676767"/>
                <w:sz w:val="16"/>
                <w:szCs w:val="16"/>
              </w:rPr>
            </w:pPr>
            <w:r>
              <w:rPr>
                <w:rFonts w:ascii="Verdana" w:eastAsia="Times New Roman" w:hAnsi="Verdana" w:cs="Times New Roman"/>
                <w:color w:val="676767"/>
                <w:sz w:val="16"/>
                <w:szCs w:val="16"/>
              </w:rPr>
              <w:t>The employee must leave the company-leased car locked at all times, when the car is not in use. Any theft, damage, or loss of the company car shall be reported to the police immediately and the leasing company must be informed in writing. The employee must comply with all traffic regulations. This obligation shall apply toward Microsoft as well.</w:t>
            </w:r>
          </w:p>
          <w:p w14:paraId="45AFEACC" w14:textId="77777777" w:rsidR="000D1595" w:rsidRDefault="000D1595">
            <w:pPr>
              <w:spacing w:before="100" w:beforeAutospacing="1" w:after="100" w:afterAutospacing="1" w:line="240" w:lineRule="auto"/>
              <w:jc w:val="both"/>
              <w:rPr>
                <w:rFonts w:ascii="Verdana" w:eastAsia="Times New Roman" w:hAnsi="Verdana" w:cs="Times New Roman"/>
                <w:color w:val="676767"/>
                <w:sz w:val="16"/>
                <w:szCs w:val="16"/>
              </w:rPr>
            </w:pPr>
            <w:r>
              <w:rPr>
                <w:rFonts w:ascii="Verdana" w:eastAsia="Times New Roman" w:hAnsi="Verdana" w:cs="Times New Roman"/>
                <w:color w:val="676767"/>
                <w:sz w:val="16"/>
                <w:szCs w:val="16"/>
              </w:rPr>
              <w:t>The employee shall bear all administrative fines, fines, and other penalties for any violation of the traffic regulations.</w:t>
            </w:r>
          </w:p>
          <w:p w14:paraId="45AFEACD" w14:textId="77777777" w:rsidR="000D1595" w:rsidRDefault="000D1595">
            <w:pPr>
              <w:spacing w:before="100" w:beforeAutospacing="1" w:after="100" w:afterAutospacing="1" w:line="240" w:lineRule="auto"/>
              <w:jc w:val="both"/>
              <w:rPr>
                <w:rFonts w:ascii="Verdana" w:eastAsia="Times New Roman" w:hAnsi="Verdana" w:cs="Times New Roman"/>
                <w:color w:val="676767"/>
                <w:sz w:val="16"/>
                <w:szCs w:val="16"/>
              </w:rPr>
            </w:pPr>
            <w:r>
              <w:rPr>
                <w:rFonts w:ascii="Verdana" w:eastAsia="Times New Roman" w:hAnsi="Verdana" w:cs="Times New Roman"/>
                <w:b/>
                <w:bCs/>
                <w:color w:val="676767"/>
                <w:sz w:val="16"/>
                <w:szCs w:val="16"/>
              </w:rPr>
              <w:t>Accidents/Damages/Insurance</w:t>
            </w:r>
          </w:p>
          <w:p w14:paraId="45AFEACE" w14:textId="77777777" w:rsidR="000D1595" w:rsidRDefault="000D1595">
            <w:pPr>
              <w:spacing w:before="100" w:beforeAutospacing="1" w:after="100" w:afterAutospacing="1" w:line="240" w:lineRule="auto"/>
              <w:jc w:val="both"/>
              <w:rPr>
                <w:rFonts w:ascii="Verdana" w:eastAsia="Times New Roman" w:hAnsi="Verdana" w:cs="Times New Roman"/>
                <w:color w:val="676767"/>
                <w:sz w:val="16"/>
                <w:szCs w:val="16"/>
              </w:rPr>
            </w:pPr>
            <w:r>
              <w:rPr>
                <w:rFonts w:ascii="Verdana" w:eastAsia="Times New Roman" w:hAnsi="Verdana" w:cs="Times New Roman"/>
                <w:color w:val="676767"/>
                <w:sz w:val="16"/>
                <w:szCs w:val="16"/>
              </w:rPr>
              <w:t>Employees are responsible for purchasing the insurance for the company-leased car. It is the employee's responsibility to ensure that the company-leased car is covered by an appropriate insurance cover at all times.</w:t>
            </w:r>
          </w:p>
          <w:p w14:paraId="45AFEACF" w14:textId="77777777" w:rsidR="000D1595" w:rsidRDefault="000D1595">
            <w:pPr>
              <w:spacing w:before="100" w:beforeAutospacing="1" w:after="100" w:afterAutospacing="1" w:line="240" w:lineRule="auto"/>
              <w:jc w:val="both"/>
              <w:rPr>
                <w:rFonts w:ascii="Verdana" w:eastAsia="Times New Roman" w:hAnsi="Verdana" w:cs="Times New Roman"/>
                <w:color w:val="676767"/>
                <w:sz w:val="16"/>
                <w:szCs w:val="16"/>
              </w:rPr>
            </w:pPr>
            <w:r>
              <w:rPr>
                <w:rFonts w:ascii="Verdana" w:eastAsia="Times New Roman" w:hAnsi="Verdana" w:cs="Times New Roman"/>
                <w:color w:val="676767"/>
                <w:sz w:val="16"/>
                <w:szCs w:val="16"/>
              </w:rPr>
              <w:t xml:space="preserve">In the event of accidents, irrespective of who is at fault or of any consequences under criminal law, the police shall be notified. After an accident the employee should immediately inform </w:t>
            </w:r>
            <w:hyperlink r:id="rId16" w:history="1">
              <w:r>
                <w:rPr>
                  <w:rStyle w:val="Hyperlink"/>
                  <w:rFonts w:ascii="Verdana" w:eastAsia="Times New Roman" w:hAnsi="Verdana" w:cs="Times New Roman"/>
                  <w:color w:val="0072BC"/>
                  <w:sz w:val="16"/>
                  <w:szCs w:val="16"/>
                  <w:u w:val="none"/>
                </w:rPr>
                <w:t>AskHR</w:t>
              </w:r>
            </w:hyperlink>
            <w:r>
              <w:rPr>
                <w:rFonts w:ascii="Verdana" w:eastAsia="Times New Roman" w:hAnsi="Verdana" w:cs="Times New Roman"/>
                <w:color w:val="676767"/>
                <w:sz w:val="16"/>
                <w:szCs w:val="16"/>
              </w:rPr>
              <w:t>. The employee is liable for any damage to the company-leased car or to any other person(s) and property involved in the accident.</w:t>
            </w:r>
          </w:p>
          <w:p w14:paraId="45AFEAD0" w14:textId="77777777" w:rsidR="000D1595" w:rsidRDefault="000D1595">
            <w:pPr>
              <w:spacing w:before="100" w:beforeAutospacing="1" w:after="100" w:afterAutospacing="1" w:line="240" w:lineRule="auto"/>
              <w:jc w:val="both"/>
              <w:rPr>
                <w:rFonts w:ascii="Verdana" w:eastAsia="Times New Roman" w:hAnsi="Verdana" w:cs="Times New Roman"/>
                <w:color w:val="676767"/>
                <w:sz w:val="16"/>
                <w:szCs w:val="16"/>
              </w:rPr>
            </w:pPr>
            <w:r>
              <w:rPr>
                <w:rFonts w:ascii="Verdana" w:eastAsia="Times New Roman" w:hAnsi="Verdana" w:cs="Times New Roman"/>
                <w:b/>
                <w:bCs/>
                <w:color w:val="676767"/>
                <w:sz w:val="16"/>
                <w:szCs w:val="16"/>
              </w:rPr>
              <w:t>Liability of Employee</w:t>
            </w:r>
          </w:p>
          <w:p w14:paraId="45AFEAD1" w14:textId="77777777" w:rsidR="000D1595" w:rsidRDefault="000D1595">
            <w:pPr>
              <w:spacing w:before="100" w:beforeAutospacing="1" w:after="100" w:afterAutospacing="1" w:line="240" w:lineRule="auto"/>
              <w:jc w:val="both"/>
              <w:rPr>
                <w:rFonts w:ascii="Verdana" w:eastAsia="Times New Roman" w:hAnsi="Verdana" w:cs="Times New Roman"/>
                <w:color w:val="676767"/>
                <w:sz w:val="16"/>
                <w:szCs w:val="16"/>
              </w:rPr>
            </w:pPr>
            <w:r>
              <w:rPr>
                <w:rFonts w:ascii="Verdana" w:eastAsia="Times New Roman" w:hAnsi="Verdana" w:cs="Times New Roman"/>
                <w:color w:val="676767"/>
                <w:sz w:val="16"/>
                <w:szCs w:val="16"/>
              </w:rPr>
              <w:t>The employee is liable for all damages caused by intent or gross negligence.</w:t>
            </w:r>
          </w:p>
          <w:p w14:paraId="45AFEAD2" w14:textId="77777777" w:rsidR="000D1595" w:rsidRDefault="000D1595">
            <w:pPr>
              <w:spacing w:before="100" w:beforeAutospacing="1" w:after="100" w:afterAutospacing="1" w:line="240" w:lineRule="auto"/>
              <w:jc w:val="both"/>
              <w:rPr>
                <w:rFonts w:ascii="Verdana" w:eastAsia="Times New Roman" w:hAnsi="Verdana" w:cs="Times New Roman"/>
                <w:color w:val="676767"/>
                <w:sz w:val="16"/>
                <w:szCs w:val="16"/>
              </w:rPr>
            </w:pPr>
            <w:r>
              <w:rPr>
                <w:rFonts w:ascii="Verdana" w:eastAsia="Times New Roman" w:hAnsi="Verdana" w:cs="Times New Roman"/>
                <w:b/>
                <w:bCs/>
                <w:color w:val="676767"/>
                <w:sz w:val="16"/>
                <w:szCs w:val="16"/>
              </w:rPr>
              <w:t>Note</w:t>
            </w:r>
            <w:r>
              <w:rPr>
                <w:rFonts w:ascii="Verdana" w:eastAsia="Times New Roman" w:hAnsi="Verdana" w:cs="Times New Roman"/>
                <w:color w:val="676767"/>
                <w:sz w:val="16"/>
                <w:szCs w:val="16"/>
              </w:rPr>
              <w:t>   Gross negligence exists if the employee violated the required diligence to a particular extent. This includes in particular the driving of the car under the influence of alcohol, drugs, traveling at an unreasonably high speed, running red lights, using cell phones without a hands-free set, refueling with the wrong type of fuel, failure to secure the parked car, accidents caused by insufficiently cleaned windows, and so on. This list is indicative and not exhaustive.</w:t>
            </w:r>
          </w:p>
          <w:p w14:paraId="45AFEAD3" w14:textId="77777777" w:rsidR="000D1595" w:rsidRDefault="000D1595">
            <w:pPr>
              <w:spacing w:before="100" w:beforeAutospacing="1" w:after="100" w:afterAutospacing="1" w:line="240" w:lineRule="auto"/>
              <w:jc w:val="both"/>
              <w:rPr>
                <w:rFonts w:ascii="Verdana" w:eastAsia="Times New Roman" w:hAnsi="Verdana" w:cs="Times New Roman"/>
                <w:color w:val="676767"/>
                <w:sz w:val="16"/>
                <w:szCs w:val="16"/>
              </w:rPr>
            </w:pPr>
            <w:r>
              <w:rPr>
                <w:rFonts w:ascii="Verdana" w:eastAsia="Times New Roman" w:hAnsi="Verdana" w:cs="Times New Roman"/>
                <w:b/>
                <w:bCs/>
                <w:color w:val="676767"/>
                <w:sz w:val="16"/>
                <w:szCs w:val="16"/>
              </w:rPr>
              <w:t>Third Party Use</w:t>
            </w:r>
          </w:p>
          <w:p w14:paraId="45AFEAD4" w14:textId="77777777" w:rsidR="000D1595" w:rsidRDefault="000D1595">
            <w:pPr>
              <w:spacing w:before="100" w:beforeAutospacing="1" w:after="100" w:afterAutospacing="1" w:line="240" w:lineRule="auto"/>
              <w:jc w:val="both"/>
              <w:rPr>
                <w:rFonts w:ascii="Verdana" w:eastAsia="Times New Roman" w:hAnsi="Verdana" w:cs="Times New Roman"/>
                <w:color w:val="676767"/>
                <w:sz w:val="16"/>
                <w:szCs w:val="16"/>
              </w:rPr>
            </w:pPr>
            <w:r>
              <w:rPr>
                <w:rFonts w:ascii="Verdana" w:eastAsia="Times New Roman" w:hAnsi="Verdana" w:cs="Times New Roman"/>
                <w:color w:val="676767"/>
                <w:sz w:val="16"/>
                <w:szCs w:val="16"/>
              </w:rPr>
              <w:t>Before permitting any third party (for example, family members, driver) to use the car, the employee must verify that the third party holds a valid driver's license.</w:t>
            </w:r>
          </w:p>
          <w:p w14:paraId="45AFEAD5" w14:textId="77777777" w:rsidR="000D1595" w:rsidRDefault="000D1595">
            <w:pPr>
              <w:spacing w:before="100" w:beforeAutospacing="1" w:after="100" w:afterAutospacing="1" w:line="240" w:lineRule="auto"/>
              <w:jc w:val="both"/>
              <w:rPr>
                <w:rFonts w:ascii="Verdana" w:eastAsia="Times New Roman" w:hAnsi="Verdana" w:cs="Times New Roman"/>
                <w:color w:val="676767"/>
                <w:sz w:val="16"/>
                <w:szCs w:val="16"/>
              </w:rPr>
            </w:pPr>
            <w:r>
              <w:rPr>
                <w:rFonts w:ascii="Verdana" w:eastAsia="Times New Roman" w:hAnsi="Verdana" w:cs="Times New Roman"/>
                <w:b/>
                <w:bCs/>
                <w:color w:val="676767"/>
                <w:sz w:val="16"/>
                <w:szCs w:val="16"/>
              </w:rPr>
              <w:t>Income Tax impact of Vehicle Lease</w:t>
            </w:r>
          </w:p>
          <w:p w14:paraId="45AFEAD6" w14:textId="77777777" w:rsidR="000D1595" w:rsidRDefault="000D1595">
            <w:pPr>
              <w:spacing w:before="100" w:beforeAutospacing="1" w:after="100" w:afterAutospacing="1" w:line="240" w:lineRule="auto"/>
              <w:jc w:val="both"/>
              <w:rPr>
                <w:rFonts w:ascii="Verdana" w:eastAsia="Times New Roman" w:hAnsi="Verdana" w:cs="Times New Roman"/>
                <w:color w:val="676767"/>
                <w:sz w:val="16"/>
                <w:szCs w:val="16"/>
              </w:rPr>
            </w:pPr>
            <w:r>
              <w:rPr>
                <w:rFonts w:ascii="Verdana" w:eastAsia="Times New Roman" w:hAnsi="Verdana" w:cs="Times New Roman"/>
                <w:color w:val="676767"/>
                <w:sz w:val="16"/>
                <w:szCs w:val="16"/>
              </w:rPr>
              <w:t>The vehicle is provided to the employee for both personal and official purposes. As per Rule 3 of the Income Tax Rules, 1962, the taxable value of company-leased cars would be taxable in the hands of the employee based on the cubic capacity of the vehicle as follows:</w:t>
            </w:r>
          </w:p>
          <w:p w14:paraId="45AFEAD7" w14:textId="77777777" w:rsidR="000D1595" w:rsidRDefault="000D1595" w:rsidP="00D35E42">
            <w:pPr>
              <w:numPr>
                <w:ilvl w:val="1"/>
                <w:numId w:val="2"/>
              </w:numPr>
              <w:spacing w:before="100" w:beforeAutospacing="1" w:after="100" w:afterAutospacing="1" w:line="240" w:lineRule="auto"/>
              <w:jc w:val="both"/>
              <w:rPr>
                <w:rFonts w:ascii="Verdana" w:eastAsia="Times New Roman" w:hAnsi="Verdana" w:cs="Times New Roman"/>
                <w:color w:val="676767"/>
                <w:sz w:val="16"/>
                <w:szCs w:val="16"/>
              </w:rPr>
            </w:pPr>
            <w:r>
              <w:rPr>
                <w:rFonts w:ascii="Verdana" w:eastAsia="Times New Roman" w:hAnsi="Verdana" w:cs="Times New Roman"/>
                <w:color w:val="676767"/>
                <w:sz w:val="16"/>
                <w:szCs w:val="16"/>
              </w:rPr>
              <w:t xml:space="preserve">For vehicles with cubic capacity less than or equal to 1.6 liters, INR1,800 per month would get added to your total taxable perquisites </w:t>
            </w:r>
          </w:p>
          <w:p w14:paraId="45AFEAD8" w14:textId="77777777" w:rsidR="000D1595" w:rsidRDefault="000D1595" w:rsidP="00D35E42">
            <w:pPr>
              <w:numPr>
                <w:ilvl w:val="1"/>
                <w:numId w:val="2"/>
              </w:numPr>
              <w:spacing w:before="100" w:beforeAutospacing="1" w:after="100" w:afterAutospacing="1" w:line="240" w:lineRule="auto"/>
              <w:jc w:val="both"/>
              <w:rPr>
                <w:rFonts w:ascii="Verdana" w:eastAsia="Times New Roman" w:hAnsi="Verdana" w:cs="Times New Roman"/>
                <w:color w:val="676767"/>
                <w:sz w:val="16"/>
                <w:szCs w:val="16"/>
              </w:rPr>
            </w:pPr>
            <w:r>
              <w:rPr>
                <w:rFonts w:ascii="Verdana" w:eastAsia="Times New Roman" w:hAnsi="Verdana" w:cs="Times New Roman"/>
                <w:color w:val="676767"/>
                <w:sz w:val="16"/>
                <w:szCs w:val="16"/>
              </w:rPr>
              <w:t xml:space="preserve">For vehicles with cubic capacity exceeding 1.6 liters, INR 2,400 per month would get added to your total taxable perquisites </w:t>
            </w:r>
          </w:p>
          <w:p w14:paraId="45AFEAD9" w14:textId="77777777" w:rsidR="000D1595" w:rsidRDefault="000D1595" w:rsidP="00D35E42">
            <w:pPr>
              <w:numPr>
                <w:ilvl w:val="1"/>
                <w:numId w:val="2"/>
              </w:numPr>
              <w:spacing w:before="100" w:beforeAutospacing="1" w:after="100" w:afterAutospacing="1" w:line="240" w:lineRule="auto"/>
              <w:jc w:val="both"/>
              <w:rPr>
                <w:rFonts w:ascii="Verdana" w:eastAsia="Times New Roman" w:hAnsi="Verdana" w:cs="Times New Roman"/>
                <w:color w:val="676767"/>
                <w:sz w:val="16"/>
                <w:szCs w:val="16"/>
              </w:rPr>
            </w:pPr>
            <w:r>
              <w:rPr>
                <w:rFonts w:ascii="Verdana" w:eastAsia="Times New Roman" w:hAnsi="Verdana" w:cs="Times New Roman"/>
                <w:color w:val="676767"/>
                <w:sz w:val="16"/>
                <w:szCs w:val="16"/>
              </w:rPr>
              <w:t xml:space="preserve">In case the driver's salary is being claimed by you, INR 900 would additionally get added to your total taxable perquisites </w:t>
            </w:r>
          </w:p>
        </w:tc>
        <w:bookmarkStart w:id="0" w:name="_GoBack"/>
        <w:bookmarkEnd w:id="0"/>
      </w:tr>
    </w:tbl>
    <w:p w14:paraId="45AFEADB" w14:textId="77777777" w:rsidR="00CD3E30" w:rsidRDefault="00D82CE8"/>
    <w:sectPr w:rsidR="00CD3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9920F9"/>
    <w:multiLevelType w:val="multilevel"/>
    <w:tmpl w:val="3A1C9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64500D0E"/>
    <w:multiLevelType w:val="multilevel"/>
    <w:tmpl w:val="10A872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595"/>
    <w:rsid w:val="000D1595"/>
    <w:rsid w:val="0012795E"/>
    <w:rsid w:val="00224E6B"/>
    <w:rsid w:val="003A587E"/>
    <w:rsid w:val="005F6B27"/>
    <w:rsid w:val="008B723A"/>
    <w:rsid w:val="00D8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FEA9D"/>
  <w15:chartTrackingRefBased/>
  <w15:docId w15:val="{3F7DE802-BF3E-4BE4-8BEF-162D97D2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59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15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488490">
      <w:bodyDiv w:val="1"/>
      <w:marLeft w:val="0"/>
      <w:marRight w:val="0"/>
      <w:marTop w:val="0"/>
      <w:marBottom w:val="0"/>
      <w:divBdr>
        <w:top w:val="none" w:sz="0" w:space="0" w:color="auto"/>
        <w:left w:val="none" w:sz="0" w:space="0" w:color="auto"/>
        <w:bottom w:val="none" w:sz="0" w:space="0" w:color="auto"/>
        <w:right w:val="none" w:sz="0" w:space="0" w:color="auto"/>
      </w:divBdr>
    </w:div>
    <w:div w:id="951479051">
      <w:bodyDiv w:val="1"/>
      <w:marLeft w:val="0"/>
      <w:marRight w:val="0"/>
      <w:marTop w:val="0"/>
      <w:marBottom w:val="0"/>
      <w:divBdr>
        <w:top w:val="none" w:sz="0" w:space="0" w:color="auto"/>
        <w:left w:val="none" w:sz="0" w:space="0" w:color="auto"/>
        <w:bottom w:val="none" w:sz="0" w:space="0" w:color="auto"/>
        <w:right w:val="none" w:sz="0" w:space="0" w:color="auto"/>
      </w:divBdr>
    </w:div>
    <w:div w:id="184335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rweb/_layouts/hrweb/AskHR.aspx?srcURL=http%3a//hrweb/benefits/extras/car/Pages/faqcarleasepolicysmsg.aspx" TargetMode="External"/><Relationship Id="rId13" Type="http://schemas.openxmlformats.org/officeDocument/2006/relationships/hyperlink" Target="mailto:avvnarayanan@sundaramfinance.i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trishul@sundaramfinance.i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hrweb/_layouts/hrweb/AskHR.aspx?srcURL=http%3a//hrweb/benefits/extras/car/Pages/faqcarleasepolicysmsg.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rweb/doclibrary/HRWeb/Country/IN/SundaramEMICalculator.xlsx" TargetMode="External"/><Relationship Id="rId5" Type="http://schemas.openxmlformats.org/officeDocument/2006/relationships/styles" Target="styles.xml"/><Relationship Id="rId15" Type="http://schemas.openxmlformats.org/officeDocument/2006/relationships/hyperlink" Target="http://hrweb/_layouts/hrweb/AskHR.aspx?srcURL=http%3a//hrweb/benefits/extras/car/Pages/faqcarleasepolicysmsg.aspx" TargetMode="External"/><Relationship Id="rId10" Type="http://schemas.openxmlformats.org/officeDocument/2006/relationships/hyperlink" Target="http://hrweb/_layouts/hrweb/AskHR.aspx?srcURL=http%3a//hrweb/benefits/extras/car/Pages/faqcarleasepolicysmsg.aspx" TargetMode="External"/><Relationship Id="rId4" Type="http://schemas.openxmlformats.org/officeDocument/2006/relationships/numbering" Target="numbering.xml"/><Relationship Id="rId9" Type="http://schemas.openxmlformats.org/officeDocument/2006/relationships/hyperlink" Target="http://hrweb/_layouts/hrweb/AskHR.aspx?srcURL=http%3a//hrweb/benefits/extras/car/Pages/faqcarleasepolicysmsg.aspx" TargetMode="External"/><Relationship Id="rId14" Type="http://schemas.openxmlformats.org/officeDocument/2006/relationships/hyperlink" Target="mailto:bganesan@sundaramfinanc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78A18DBD226543ACDF43D4EFD9DC46" ma:contentTypeVersion="1" ma:contentTypeDescription="Create a new document." ma:contentTypeScope="" ma:versionID="803f35fa1974f53a6c45950e45619c5a">
  <xsd:schema xmlns:xsd="http://www.w3.org/2001/XMLSchema" xmlns:xs="http://www.w3.org/2001/XMLSchema" xmlns:p="http://schemas.microsoft.com/office/2006/metadata/properties" xmlns:ns1="http://schemas.microsoft.com/sharepoint/v3" targetNamespace="http://schemas.microsoft.com/office/2006/metadata/properties" ma:root="true" ma:fieldsID="4d29c734d63738ea1f3f036668838399"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A3D045-2B1F-4163-9B2D-A628A0B5F186}"/>
</file>

<file path=customXml/itemProps2.xml><?xml version="1.0" encoding="utf-8"?>
<ds:datastoreItem xmlns:ds="http://schemas.openxmlformats.org/officeDocument/2006/customXml" ds:itemID="{10735236-5488-4CAD-98CC-803CBDC7EF21}"/>
</file>

<file path=customXml/itemProps3.xml><?xml version="1.0" encoding="utf-8"?>
<ds:datastoreItem xmlns:ds="http://schemas.openxmlformats.org/officeDocument/2006/customXml" ds:itemID="{10FCFE75-D917-460F-8F59-E374C6F1488C}"/>
</file>

<file path=docProps/app.xml><?xml version="1.0" encoding="utf-8"?>
<Properties xmlns="http://schemas.openxmlformats.org/officeDocument/2006/extended-properties" xmlns:vt="http://schemas.openxmlformats.org/officeDocument/2006/docPropsVTypes">
  <Template>Normal</Template>
  <TotalTime>0</TotalTime>
  <Pages>2</Pages>
  <Words>843</Words>
  <Characters>4811</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Ramesh (Ikya Human Capital Solutions)</dc:creator>
  <cp:keywords/>
  <dc:description/>
  <cp:lastModifiedBy>Mary Ramesh (Ikya Human Capital Solutions)</cp:lastModifiedBy>
  <cp:revision>2</cp:revision>
  <dcterms:created xsi:type="dcterms:W3CDTF">2014-09-23T14:57:00Z</dcterms:created>
  <dcterms:modified xsi:type="dcterms:W3CDTF">2014-09-23T14:57:00Z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0x0101007F78A18DBD226543ACDF43D4EFD9DC46</vt:lpwstr>
  </property>
</Properties>
</file>