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2FB" w:rsidRDefault="009162FB" w:rsidP="00EB2331">
      <w:pPr>
        <w:pStyle w:val="Heading1"/>
      </w:pPr>
      <w:proofErr w:type="spellStart"/>
      <w:r w:rsidRPr="009162FB">
        <w:t>PySpark</w:t>
      </w:r>
      <w:proofErr w:type="spellEnd"/>
      <w:r w:rsidRPr="009162FB">
        <w:t xml:space="preserve"> </w:t>
      </w:r>
      <w:proofErr w:type="gramStart"/>
      <w:r w:rsidRPr="009162FB">
        <w:t>Repartition(</w:t>
      </w:r>
      <w:proofErr w:type="gramEnd"/>
      <w:r w:rsidRPr="009162FB">
        <w:t xml:space="preserve">) </w:t>
      </w:r>
      <w:proofErr w:type="spellStart"/>
      <w:r w:rsidRPr="009162FB">
        <w:t>vs</w:t>
      </w:r>
      <w:proofErr w:type="spellEnd"/>
      <w:r w:rsidRPr="009162FB">
        <w:t xml:space="preserve"> </w:t>
      </w:r>
      <w:r w:rsidRPr="00EB2331">
        <w:t>Coalesce</w:t>
      </w:r>
      <w:r w:rsidRPr="009162FB">
        <w:t>()</w:t>
      </w:r>
    </w:p>
    <w:p w:rsidR="00EB2331" w:rsidRDefault="00EB2331" w:rsidP="00EB2331">
      <w:pPr>
        <w:pStyle w:val="NormalWeb"/>
        <w:jc w:val="both"/>
      </w:pPr>
      <w:r>
        <w:t>Spark splits data into partitions and computation is done in parallel for each partition. It is very important to understand how data is partitioned and when you need to manually modify the partitioning to run spark applications efficiently.</w:t>
      </w:r>
    </w:p>
    <w:p w:rsidR="00EB2331" w:rsidRDefault="00EB2331" w:rsidP="00EB2331">
      <w:pPr>
        <w:pStyle w:val="NormalWeb"/>
        <w:jc w:val="both"/>
      </w:pPr>
      <w:r>
        <w:t xml:space="preserve">Now, diving into our main topic </w:t>
      </w:r>
      <w:proofErr w:type="spellStart"/>
      <w:r>
        <w:t>i.e</w:t>
      </w:r>
      <w:proofErr w:type="spellEnd"/>
      <w:r>
        <w:t xml:space="preserve"> </w:t>
      </w:r>
      <w:r>
        <w:rPr>
          <w:rStyle w:val="Strong"/>
        </w:rPr>
        <w:t xml:space="preserve">Repartitioning v/s Coalesce </w:t>
      </w:r>
    </w:p>
    <w:p w:rsidR="00EB2331" w:rsidRDefault="00EB2331" w:rsidP="00EB2331">
      <w:pPr>
        <w:pStyle w:val="Heading2"/>
        <w:jc w:val="both"/>
      </w:pPr>
      <w:r>
        <w:t>What is Coalesce?</w:t>
      </w:r>
    </w:p>
    <w:p w:rsidR="00EB2331" w:rsidRDefault="00EB2331" w:rsidP="00EB2331">
      <w:pPr>
        <w:pStyle w:val="NormalWeb"/>
        <w:jc w:val="both"/>
      </w:pPr>
      <w:proofErr w:type="gramStart"/>
      <w:r w:rsidRPr="003B7079">
        <w:rPr>
          <w:highlight w:val="yellow"/>
        </w:rPr>
        <w:t>The coalesce</w:t>
      </w:r>
      <w:proofErr w:type="gramEnd"/>
      <w:r w:rsidRPr="003B7079">
        <w:rPr>
          <w:highlight w:val="yellow"/>
        </w:rPr>
        <w:t xml:space="preserve"> method </w:t>
      </w:r>
      <w:r w:rsidRPr="003B7079">
        <w:rPr>
          <w:rStyle w:val="Strong"/>
          <w:highlight w:val="yellow"/>
        </w:rPr>
        <w:t>reduces</w:t>
      </w:r>
      <w:r w:rsidRPr="003B7079">
        <w:rPr>
          <w:highlight w:val="yellow"/>
        </w:rPr>
        <w:t xml:space="preserve"> the </w:t>
      </w:r>
      <w:r w:rsidRPr="003B7079">
        <w:rPr>
          <w:rStyle w:val="Strong"/>
          <w:highlight w:val="yellow"/>
        </w:rPr>
        <w:t>number of partitions</w:t>
      </w:r>
      <w:r w:rsidRPr="003B7079">
        <w:rPr>
          <w:highlight w:val="yellow"/>
        </w:rPr>
        <w:t xml:space="preserve"> in a </w:t>
      </w:r>
      <w:proofErr w:type="spellStart"/>
      <w:r w:rsidRPr="003B7079">
        <w:rPr>
          <w:highlight w:val="yellow"/>
        </w:rPr>
        <w:t>DataFrame</w:t>
      </w:r>
      <w:proofErr w:type="spellEnd"/>
      <w:r w:rsidRPr="003B7079">
        <w:rPr>
          <w:highlight w:val="yellow"/>
        </w:rPr>
        <w:t xml:space="preserve">. Coalesce </w:t>
      </w:r>
      <w:r w:rsidRPr="003B7079">
        <w:rPr>
          <w:rStyle w:val="Strong"/>
          <w:highlight w:val="yellow"/>
        </w:rPr>
        <w:t>avoids full shuffle</w:t>
      </w:r>
      <w:r w:rsidRPr="003B7079">
        <w:rPr>
          <w:highlight w:val="yellow"/>
        </w:rPr>
        <w:t xml:space="preserve">, instead of creating new partitions, it shuffles the data using Hash </w:t>
      </w:r>
      <w:proofErr w:type="spellStart"/>
      <w:r w:rsidRPr="003B7079">
        <w:rPr>
          <w:highlight w:val="yellow"/>
        </w:rPr>
        <w:t>Partitioner</w:t>
      </w:r>
      <w:proofErr w:type="spellEnd"/>
      <w:r w:rsidRPr="003B7079">
        <w:rPr>
          <w:highlight w:val="yellow"/>
        </w:rPr>
        <w:t xml:space="preserve"> (Default), and </w:t>
      </w:r>
      <w:r w:rsidRPr="003B7079">
        <w:rPr>
          <w:rStyle w:val="Strong"/>
          <w:highlight w:val="yellow"/>
        </w:rPr>
        <w:t>adjusts into existing partitions</w:t>
      </w:r>
      <w:r w:rsidRPr="003B7079">
        <w:rPr>
          <w:highlight w:val="yellow"/>
        </w:rPr>
        <w:t xml:space="preserve">, this means it can </w:t>
      </w:r>
      <w:r w:rsidRPr="003B7079">
        <w:rPr>
          <w:rStyle w:val="Strong"/>
          <w:highlight w:val="yellow"/>
        </w:rPr>
        <w:t xml:space="preserve">only decrease </w:t>
      </w:r>
      <w:r w:rsidRPr="003B7079">
        <w:rPr>
          <w:highlight w:val="yellow"/>
        </w:rPr>
        <w:t>the number of partitions.</w:t>
      </w:r>
    </w:p>
    <w:p w:rsidR="00EB2331" w:rsidRDefault="00EB2331" w:rsidP="00EB2331">
      <w:pPr>
        <w:pStyle w:val="Heading2"/>
        <w:jc w:val="both"/>
      </w:pPr>
      <w:r>
        <w:t>What is Repartitioning?</w:t>
      </w:r>
    </w:p>
    <w:p w:rsidR="00EB2331" w:rsidRDefault="00EB2331" w:rsidP="00EB2331">
      <w:pPr>
        <w:pStyle w:val="NormalWeb"/>
        <w:jc w:val="both"/>
      </w:pPr>
      <w:r w:rsidRPr="003B7079">
        <w:rPr>
          <w:highlight w:val="yellow"/>
        </w:rPr>
        <w:t xml:space="preserve">The repartition method can be used to either </w:t>
      </w:r>
      <w:r w:rsidRPr="003B7079">
        <w:rPr>
          <w:rStyle w:val="Strong"/>
          <w:highlight w:val="yellow"/>
        </w:rPr>
        <w:t>increase</w:t>
      </w:r>
      <w:r w:rsidRPr="003B7079">
        <w:rPr>
          <w:highlight w:val="yellow"/>
        </w:rPr>
        <w:t xml:space="preserve"> or </w:t>
      </w:r>
      <w:r w:rsidRPr="003B7079">
        <w:rPr>
          <w:rStyle w:val="Strong"/>
          <w:highlight w:val="yellow"/>
        </w:rPr>
        <w:t>decrease</w:t>
      </w:r>
      <w:r w:rsidRPr="003B7079">
        <w:rPr>
          <w:highlight w:val="yellow"/>
        </w:rPr>
        <w:t xml:space="preserve"> the </w:t>
      </w:r>
      <w:r w:rsidRPr="003B7079">
        <w:rPr>
          <w:rStyle w:val="Strong"/>
          <w:highlight w:val="yellow"/>
        </w:rPr>
        <w:t>number of partitions</w:t>
      </w:r>
      <w:r w:rsidRPr="003B7079">
        <w:rPr>
          <w:highlight w:val="yellow"/>
        </w:rPr>
        <w:t xml:space="preserve"> in a </w:t>
      </w:r>
      <w:proofErr w:type="spellStart"/>
      <w:r w:rsidRPr="003B7079">
        <w:rPr>
          <w:highlight w:val="yellow"/>
        </w:rPr>
        <w:t>DataFrame</w:t>
      </w:r>
      <w:proofErr w:type="spellEnd"/>
      <w:r w:rsidRPr="003B7079">
        <w:rPr>
          <w:highlight w:val="yellow"/>
        </w:rPr>
        <w:t xml:space="preserve">. Repartition is a </w:t>
      </w:r>
      <w:r w:rsidRPr="003B7079">
        <w:rPr>
          <w:rStyle w:val="Strong"/>
          <w:highlight w:val="yellow"/>
        </w:rPr>
        <w:t>full Shuffle</w:t>
      </w:r>
      <w:r w:rsidRPr="003B7079">
        <w:rPr>
          <w:highlight w:val="yellow"/>
        </w:rPr>
        <w:t xml:space="preserve"> </w:t>
      </w:r>
      <w:proofErr w:type="gramStart"/>
      <w:r w:rsidRPr="003B7079">
        <w:rPr>
          <w:highlight w:val="yellow"/>
        </w:rPr>
        <w:t>operation,</w:t>
      </w:r>
      <w:proofErr w:type="gramEnd"/>
      <w:r w:rsidRPr="003B7079">
        <w:rPr>
          <w:highlight w:val="yellow"/>
        </w:rPr>
        <w:t xml:space="preserve"> whole data is taken out from existing partitions and </w:t>
      </w:r>
      <w:r w:rsidRPr="003B7079">
        <w:rPr>
          <w:rStyle w:val="Strong"/>
          <w:highlight w:val="yellow"/>
        </w:rPr>
        <w:t>equally distributed</w:t>
      </w:r>
      <w:r w:rsidRPr="003B7079">
        <w:rPr>
          <w:highlight w:val="yellow"/>
        </w:rPr>
        <w:t xml:space="preserve"> into </w:t>
      </w:r>
      <w:r w:rsidRPr="003B7079">
        <w:rPr>
          <w:rStyle w:val="Strong"/>
          <w:highlight w:val="yellow"/>
        </w:rPr>
        <w:t>newly formed partitions</w:t>
      </w:r>
      <w:r w:rsidRPr="003B7079">
        <w:rPr>
          <w:highlight w:val="yellow"/>
        </w:rPr>
        <w:t>.</w:t>
      </w:r>
    </w:p>
    <w:p w:rsidR="00EB2331" w:rsidRDefault="00EB2331" w:rsidP="00EB2331">
      <w:pPr>
        <w:pStyle w:val="Heading4"/>
        <w:jc w:val="both"/>
      </w:pPr>
      <w:r>
        <w:t>Where to use what?</w:t>
      </w:r>
    </w:p>
    <w:p w:rsidR="00EB2331" w:rsidRDefault="00EB2331" w:rsidP="00EB2331">
      <w:pPr>
        <w:pStyle w:val="NormalWeb"/>
        <w:jc w:val="both"/>
      </w:pPr>
      <w:r>
        <w:t>Let’s look at the below example for the answer.</w:t>
      </w:r>
    </w:p>
    <w:p w:rsidR="00EB2331" w:rsidRDefault="00EB2331" w:rsidP="00EB2331">
      <w:r>
        <w:rPr>
          <w:noProof/>
          <w:lang w:eastAsia="en-IN"/>
        </w:rPr>
        <w:drawing>
          <wp:inline distT="0" distB="0" distL="0" distR="0">
            <wp:extent cx="7410450" cy="638175"/>
            <wp:effectExtent l="0" t="0" r="0" b="9525"/>
            <wp:docPr id="3" name="Picture 3" descr="https://deejeyhome.files.wordpress.com/2019/12/screenshot-from-2019-12-21-14-25-17.png?w=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ejeyhome.files.wordpress.com/2019/12/screenshot-from-2019-12-21-14-25-17.png?w=10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10450" cy="638175"/>
                    </a:xfrm>
                    <a:prstGeom prst="rect">
                      <a:avLst/>
                    </a:prstGeom>
                    <a:noFill/>
                    <a:ln>
                      <a:noFill/>
                    </a:ln>
                  </pic:spPr>
                </pic:pic>
              </a:graphicData>
            </a:graphic>
          </wp:inline>
        </w:drawing>
      </w:r>
    </w:p>
    <w:p w:rsidR="00EB2331" w:rsidRDefault="00EB2331" w:rsidP="00EB2331">
      <w:pPr>
        <w:pStyle w:val="NormalWeb"/>
        <w:jc w:val="both"/>
      </w:pPr>
      <w:r>
        <w:t>Now, if I manually pass the number of partitions to 10, see how the data gets distributed:</w:t>
      </w:r>
    </w:p>
    <w:p w:rsidR="00EB2331" w:rsidRDefault="00EB2331" w:rsidP="00EB2331">
      <w:r>
        <w:rPr>
          <w:noProof/>
          <w:lang w:eastAsia="en-IN"/>
        </w:rPr>
        <w:drawing>
          <wp:inline distT="0" distB="0" distL="0" distR="0">
            <wp:extent cx="8448675" cy="457200"/>
            <wp:effectExtent l="0" t="0" r="9525" b="0"/>
            <wp:docPr id="2" name="Picture 2" descr="https://deejeyhome.files.wordpress.com/2019/12/screenshot-from-2019-12-21-14-24-26.png?w=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eejeyhome.files.wordpress.com/2019/12/screenshot-from-2019-12-21-14-24-26.png?w=88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8675" cy="457200"/>
                    </a:xfrm>
                    <a:prstGeom prst="rect">
                      <a:avLst/>
                    </a:prstGeom>
                    <a:noFill/>
                    <a:ln>
                      <a:noFill/>
                    </a:ln>
                  </pic:spPr>
                </pic:pic>
              </a:graphicData>
            </a:graphic>
          </wp:inline>
        </w:drawing>
      </w:r>
      <w:r>
        <w:rPr>
          <w:noProof/>
          <w:lang w:eastAsia="en-IN"/>
        </w:rPr>
        <w:drawing>
          <wp:inline distT="0" distB="0" distL="0" distR="0">
            <wp:extent cx="8086725" cy="447675"/>
            <wp:effectExtent l="0" t="0" r="9525" b="9525"/>
            <wp:docPr id="1" name="Picture 1" descr="https://deejeyhome.files.wordpress.com/2019/12/screenshot-from-2019-12-21-14-24-12.png?w=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ejeyhome.files.wordpress.com/2019/12/screenshot-from-2019-12-21-14-24-12.png?w=8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86725" cy="447675"/>
                    </a:xfrm>
                    <a:prstGeom prst="rect">
                      <a:avLst/>
                    </a:prstGeom>
                    <a:noFill/>
                    <a:ln>
                      <a:noFill/>
                    </a:ln>
                  </pic:spPr>
                </pic:pic>
              </a:graphicData>
            </a:graphic>
          </wp:inline>
        </w:drawing>
      </w:r>
    </w:p>
    <w:p w:rsidR="00EB2331" w:rsidRDefault="00EB2331" w:rsidP="00EB2331">
      <w:pPr>
        <w:pStyle w:val="NormalWeb"/>
        <w:jc w:val="both"/>
      </w:pPr>
      <w:r>
        <w:t xml:space="preserve">Comparatively, </w:t>
      </w:r>
      <w:r>
        <w:rPr>
          <w:rStyle w:val="Strong"/>
        </w:rPr>
        <w:t>coalesce</w:t>
      </w:r>
      <w:r>
        <w:t xml:space="preserve"> took less time as compared with </w:t>
      </w:r>
      <w:r>
        <w:rPr>
          <w:rStyle w:val="Strong"/>
        </w:rPr>
        <w:t>repartitioning</w:t>
      </w:r>
      <w:r>
        <w:t>. And the data gets partitioned as 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01"/>
        <w:gridCol w:w="2400"/>
      </w:tblGrid>
      <w:tr w:rsidR="00EB2331" w:rsidTr="003B7079">
        <w:trPr>
          <w:tblCellSpacing w:w="15" w:type="dxa"/>
        </w:trPr>
        <w:tc>
          <w:tcPr>
            <w:tcW w:w="0" w:type="auto"/>
            <w:vAlign w:val="center"/>
            <w:hideMark/>
          </w:tcPr>
          <w:p w:rsidR="00EB2331" w:rsidRDefault="00EB2331">
            <w:pPr>
              <w:rPr>
                <w:sz w:val="24"/>
                <w:szCs w:val="24"/>
              </w:rPr>
            </w:pPr>
            <w:r>
              <w:rPr>
                <w:rStyle w:val="Strong"/>
              </w:rPr>
              <w:t>Repartitioning</w:t>
            </w:r>
          </w:p>
        </w:tc>
        <w:tc>
          <w:tcPr>
            <w:tcW w:w="0" w:type="auto"/>
            <w:vAlign w:val="center"/>
            <w:hideMark/>
          </w:tcPr>
          <w:p w:rsidR="00EB2331" w:rsidRDefault="00EB2331">
            <w:pPr>
              <w:rPr>
                <w:sz w:val="24"/>
                <w:szCs w:val="24"/>
              </w:rPr>
            </w:pPr>
            <w:r>
              <w:rPr>
                <w:rStyle w:val="Strong"/>
              </w:rPr>
              <w:t>Coalesce</w:t>
            </w:r>
          </w:p>
        </w:tc>
      </w:tr>
      <w:tr w:rsidR="00EB2331" w:rsidTr="003B7079">
        <w:trPr>
          <w:tblCellSpacing w:w="15" w:type="dxa"/>
        </w:trPr>
        <w:tc>
          <w:tcPr>
            <w:tcW w:w="0" w:type="auto"/>
            <w:vAlign w:val="center"/>
            <w:hideMark/>
          </w:tcPr>
          <w:p w:rsidR="00EB2331" w:rsidRDefault="00EB2331">
            <w:pPr>
              <w:rPr>
                <w:sz w:val="24"/>
                <w:szCs w:val="24"/>
              </w:rPr>
            </w:pPr>
            <w:r>
              <w:t>19M repartition/part-00000</w:t>
            </w:r>
            <w:r>
              <w:br/>
              <w:t xml:space="preserve">19M repartition/part-00001 </w:t>
            </w:r>
            <w:r>
              <w:br/>
              <w:t>19M repartition/part-00002</w:t>
            </w:r>
            <w:r>
              <w:br/>
              <w:t>19M repartition/part-00003</w:t>
            </w:r>
            <w:r>
              <w:br/>
            </w:r>
            <w:r>
              <w:lastRenderedPageBreak/>
              <w:t>19M repartition/part-00004</w:t>
            </w:r>
            <w:r>
              <w:br/>
              <w:t>19M repartition/part-00005</w:t>
            </w:r>
            <w:r>
              <w:br/>
              <w:t>19M repartition/part-00006</w:t>
            </w:r>
            <w:r>
              <w:br/>
              <w:t>19M repartition/part-00007</w:t>
            </w:r>
            <w:r>
              <w:br/>
              <w:t xml:space="preserve">19M repartition/part-00008 </w:t>
            </w:r>
            <w:r>
              <w:br/>
              <w:t>19M repartition/part-00009</w:t>
            </w:r>
          </w:p>
        </w:tc>
        <w:tc>
          <w:tcPr>
            <w:tcW w:w="0" w:type="auto"/>
            <w:vAlign w:val="center"/>
            <w:hideMark/>
          </w:tcPr>
          <w:p w:rsidR="00EB2331" w:rsidRDefault="00EB2331">
            <w:pPr>
              <w:rPr>
                <w:sz w:val="24"/>
                <w:szCs w:val="24"/>
              </w:rPr>
            </w:pPr>
            <w:r>
              <w:lastRenderedPageBreak/>
              <w:t xml:space="preserve">33M coalesce/part-00000 </w:t>
            </w:r>
            <w:r>
              <w:br/>
              <w:t xml:space="preserve">29M coalesce/part-00001 </w:t>
            </w:r>
            <w:r>
              <w:br/>
              <w:t xml:space="preserve">30M coalesce/part-00002 </w:t>
            </w:r>
            <w:r>
              <w:br/>
              <w:t xml:space="preserve">31M coalesce/part-00003 </w:t>
            </w:r>
            <w:r>
              <w:br/>
            </w:r>
            <w:r>
              <w:lastRenderedPageBreak/>
              <w:t xml:space="preserve">32M coalesce/part-00004 </w:t>
            </w:r>
            <w:r>
              <w:br/>
              <w:t>33M coalesce/part-00005</w:t>
            </w:r>
          </w:p>
        </w:tc>
      </w:tr>
      <w:tr w:rsidR="003B7079" w:rsidTr="003B7079">
        <w:trPr>
          <w:tblCellSpacing w:w="15" w:type="dxa"/>
        </w:trPr>
        <w:tc>
          <w:tcPr>
            <w:tcW w:w="0" w:type="auto"/>
            <w:vAlign w:val="center"/>
          </w:tcPr>
          <w:p w:rsidR="003B7079" w:rsidRDefault="003B7079"/>
        </w:tc>
        <w:tc>
          <w:tcPr>
            <w:tcW w:w="0" w:type="auto"/>
            <w:vAlign w:val="center"/>
          </w:tcPr>
          <w:p w:rsidR="003B7079" w:rsidRDefault="003B7079"/>
        </w:tc>
      </w:tr>
    </w:tbl>
    <w:p w:rsidR="00EB2331" w:rsidRPr="006818F0" w:rsidRDefault="00EB2331" w:rsidP="00EB2331">
      <w:pPr>
        <w:pStyle w:val="NormalWeb"/>
        <w:jc w:val="both"/>
        <w:rPr>
          <w:highlight w:val="yellow"/>
        </w:rPr>
      </w:pPr>
      <w:r w:rsidRPr="006818F0">
        <w:rPr>
          <w:highlight w:val="yellow"/>
        </w:rPr>
        <w:t xml:space="preserve">If you observe above table when </w:t>
      </w:r>
      <w:r w:rsidRPr="006818F0">
        <w:rPr>
          <w:rStyle w:val="Strong"/>
          <w:highlight w:val="yellow"/>
        </w:rPr>
        <w:t>repartitioned</w:t>
      </w:r>
      <w:r w:rsidRPr="006818F0">
        <w:rPr>
          <w:highlight w:val="yellow"/>
        </w:rPr>
        <w:t xml:space="preserve">, data over all the partitions are </w:t>
      </w:r>
      <w:r w:rsidRPr="006818F0">
        <w:rPr>
          <w:rStyle w:val="Strong"/>
          <w:highlight w:val="yellow"/>
        </w:rPr>
        <w:t>equally</w:t>
      </w:r>
      <w:r w:rsidRPr="006818F0">
        <w:rPr>
          <w:highlight w:val="yellow"/>
        </w:rPr>
        <w:t xml:space="preserve"> </w:t>
      </w:r>
      <w:r w:rsidRPr="006818F0">
        <w:rPr>
          <w:rStyle w:val="Strong"/>
          <w:highlight w:val="yellow"/>
        </w:rPr>
        <w:t>populated</w:t>
      </w:r>
      <w:r w:rsidRPr="006818F0">
        <w:rPr>
          <w:highlight w:val="yellow"/>
        </w:rPr>
        <w:t xml:space="preserve">, but when we used </w:t>
      </w:r>
      <w:r w:rsidRPr="006818F0">
        <w:rPr>
          <w:rStyle w:val="Strong"/>
          <w:highlight w:val="yellow"/>
        </w:rPr>
        <w:t>coalesce</w:t>
      </w:r>
      <w:r w:rsidRPr="006818F0">
        <w:rPr>
          <w:highlight w:val="yellow"/>
        </w:rPr>
        <w:t xml:space="preserve"> the data is </w:t>
      </w:r>
      <w:r w:rsidRPr="006818F0">
        <w:rPr>
          <w:rStyle w:val="Strong"/>
          <w:highlight w:val="yellow"/>
        </w:rPr>
        <w:t>not equally distributed</w:t>
      </w:r>
      <w:r w:rsidRPr="006818F0">
        <w:rPr>
          <w:highlight w:val="yellow"/>
        </w:rPr>
        <w:t>.</w:t>
      </w:r>
    </w:p>
    <w:p w:rsidR="00EB2331" w:rsidRDefault="00EB2331" w:rsidP="00EB2331">
      <w:pPr>
        <w:pStyle w:val="NormalWeb"/>
        <w:jc w:val="both"/>
      </w:pPr>
      <w:r w:rsidRPr="006818F0">
        <w:rPr>
          <w:highlight w:val="yellow"/>
        </w:rPr>
        <w:t xml:space="preserve">Also, if you observed above coalesce didn’t partition your data to </w:t>
      </w:r>
      <w:r w:rsidRPr="006818F0">
        <w:rPr>
          <w:rStyle w:val="Strong"/>
          <w:highlight w:val="yellow"/>
        </w:rPr>
        <w:t>10 partitions</w:t>
      </w:r>
      <w:r w:rsidRPr="006818F0">
        <w:rPr>
          <w:highlight w:val="yellow"/>
        </w:rPr>
        <w:t xml:space="preserve"> instead it created </w:t>
      </w:r>
      <w:r w:rsidRPr="006818F0">
        <w:rPr>
          <w:rStyle w:val="Strong"/>
          <w:highlight w:val="yellow"/>
        </w:rPr>
        <w:t>6 partitions</w:t>
      </w:r>
      <w:r w:rsidRPr="006818F0">
        <w:rPr>
          <w:highlight w:val="yellow"/>
        </w:rPr>
        <w:t xml:space="preserve">. That means even if you provide a large number of partitions, it partitions your data to the default one in the above case it is </w:t>
      </w:r>
      <w:r w:rsidRPr="006818F0">
        <w:rPr>
          <w:rStyle w:val="Strong"/>
          <w:highlight w:val="yellow"/>
        </w:rPr>
        <w:t>6</w:t>
      </w:r>
      <w:r w:rsidRPr="006818F0">
        <w:rPr>
          <w:highlight w:val="yellow"/>
        </w:rPr>
        <w:t>.</w:t>
      </w:r>
    </w:p>
    <w:p w:rsidR="00EB2331" w:rsidRDefault="00EB2331" w:rsidP="00EB2331">
      <w:pPr>
        <w:pStyle w:val="NormalWeb"/>
        <w:jc w:val="both"/>
      </w:pPr>
      <w:r>
        <w:rPr>
          <w:rStyle w:val="Strong"/>
        </w:rPr>
        <w:t xml:space="preserve">Now we understand the </w:t>
      </w:r>
      <w:proofErr w:type="spellStart"/>
      <w:r>
        <w:rPr>
          <w:rStyle w:val="Strong"/>
        </w:rPr>
        <w:t>behavior</w:t>
      </w:r>
      <w:proofErr w:type="spellEnd"/>
      <w:r>
        <w:rPr>
          <w:rStyle w:val="Strong"/>
        </w:rPr>
        <w:t xml:space="preserve"> and hence back to our initial question, where to use which function?</w:t>
      </w:r>
    </w:p>
    <w:p w:rsidR="00EB2331" w:rsidRDefault="00EB2331" w:rsidP="00EB2331">
      <w:pPr>
        <w:pStyle w:val="NormalWeb"/>
        <w:jc w:val="both"/>
      </w:pPr>
      <w:proofErr w:type="gramStart"/>
      <w:r>
        <w:rPr>
          <w:rStyle w:val="Strong"/>
          <w:u w:val="single"/>
        </w:rPr>
        <w:t>Coalesce</w:t>
      </w:r>
      <w:proofErr w:type="gramEnd"/>
      <w:r>
        <w:rPr>
          <w:rStyle w:val="Strong"/>
          <w:u w:val="single"/>
        </w:rPr>
        <w:t xml:space="preserve"> use case:</w:t>
      </w:r>
      <w:r>
        <w:t xml:space="preserve"> we pass in all 10 above partitions into our RDD and perform some action, the partition which processes the file </w:t>
      </w:r>
      <w:r>
        <w:rPr>
          <w:rStyle w:val="Strong"/>
        </w:rPr>
        <w:t xml:space="preserve">part-00000 </w:t>
      </w:r>
      <w:r>
        <w:t xml:space="preserve">will finish first followed by others but the executor with </w:t>
      </w:r>
      <w:r>
        <w:rPr>
          <w:rStyle w:val="Strong"/>
        </w:rPr>
        <w:t>part-00005</w:t>
      </w:r>
      <w:r>
        <w:t xml:space="preserve"> will be still running meanwhile 1st executor will be idle. </w:t>
      </w:r>
      <w:r>
        <w:rPr>
          <w:rStyle w:val="Strong"/>
        </w:rPr>
        <w:t>Hence, the load is not balanced on executors equally.</w:t>
      </w:r>
    </w:p>
    <w:p w:rsidR="004762B4" w:rsidRDefault="00EB2331" w:rsidP="00EB2331">
      <w:pPr>
        <w:pStyle w:val="NormalWeb"/>
        <w:jc w:val="both"/>
      </w:pPr>
      <w:r>
        <w:rPr>
          <w:rStyle w:val="Strong"/>
          <w:u w:val="single"/>
        </w:rPr>
        <w:t>Repartition use case:</w:t>
      </w:r>
      <w:r>
        <w:t xml:space="preserve"> All the</w:t>
      </w:r>
      <w:r>
        <w:rPr>
          <w:rStyle w:val="Strong"/>
        </w:rPr>
        <w:t xml:space="preserve"> executors finish</w:t>
      </w:r>
      <w:r>
        <w:t xml:space="preserve"> the job at the same time, and the </w:t>
      </w:r>
      <w:r>
        <w:rPr>
          <w:rStyle w:val="Strong"/>
        </w:rPr>
        <w:t>resources</w:t>
      </w:r>
      <w:r>
        <w:t xml:space="preserve"> are </w:t>
      </w:r>
      <w:r>
        <w:rPr>
          <w:rStyle w:val="Strong"/>
        </w:rPr>
        <w:t>consumed</w:t>
      </w:r>
      <w:r>
        <w:t xml:space="preserve"> </w:t>
      </w:r>
      <w:r>
        <w:rPr>
          <w:rStyle w:val="Strong"/>
        </w:rPr>
        <w:t>equally</w:t>
      </w:r>
      <w:r>
        <w:t xml:space="preserve"> because all input partitions have the same size.</w:t>
      </w:r>
    </w:p>
    <w:p w:rsidR="004762B4" w:rsidRPr="009162FB" w:rsidRDefault="004762B4" w:rsidP="004762B4">
      <w:pPr>
        <w:pStyle w:val="Heading2"/>
        <w:rPr>
          <w:rFonts w:eastAsia="Times New Roman"/>
          <w:lang w:eastAsia="en-IN"/>
        </w:rPr>
      </w:pPr>
      <w:r>
        <w:rPr>
          <w:rFonts w:eastAsia="Times New Roman"/>
          <w:lang w:eastAsia="en-IN"/>
        </w:rPr>
        <w:t>Summary</w:t>
      </w:r>
    </w:p>
    <w:p w:rsidR="004762B4" w:rsidRPr="004762B4" w:rsidRDefault="004762B4" w:rsidP="004762B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762B4">
        <w:rPr>
          <w:rFonts w:ascii="Times New Roman" w:eastAsia="Times New Roman" w:hAnsi="Times New Roman" w:cs="Times New Roman"/>
          <w:sz w:val="24"/>
          <w:szCs w:val="24"/>
          <w:lang w:eastAsia="en-IN"/>
        </w:rPr>
        <w:t xml:space="preserve">If you have loaded a dataset, includes huge data, and a lot of transformations that need an equal distribution of load on executors, you need to use </w:t>
      </w:r>
      <w:r w:rsidRPr="004762B4">
        <w:rPr>
          <w:rFonts w:ascii="Times New Roman" w:eastAsia="Times New Roman" w:hAnsi="Times New Roman" w:cs="Times New Roman"/>
          <w:b/>
          <w:bCs/>
          <w:sz w:val="24"/>
          <w:szCs w:val="24"/>
          <w:lang w:eastAsia="en-IN"/>
        </w:rPr>
        <w:t>Repartition</w:t>
      </w:r>
      <w:r w:rsidRPr="004762B4">
        <w:rPr>
          <w:rFonts w:ascii="Times New Roman" w:eastAsia="Times New Roman" w:hAnsi="Times New Roman" w:cs="Times New Roman"/>
          <w:sz w:val="24"/>
          <w:szCs w:val="24"/>
          <w:lang w:eastAsia="en-IN"/>
        </w:rPr>
        <w:t>.</w:t>
      </w:r>
    </w:p>
    <w:p w:rsidR="004762B4" w:rsidRPr="004762B4" w:rsidRDefault="004762B4" w:rsidP="004762B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762B4">
        <w:rPr>
          <w:rFonts w:ascii="Times New Roman" w:eastAsia="Times New Roman" w:hAnsi="Times New Roman" w:cs="Times New Roman"/>
          <w:sz w:val="24"/>
          <w:szCs w:val="24"/>
          <w:lang w:eastAsia="en-IN"/>
        </w:rPr>
        <w:t xml:space="preserve">Once all the transformations are applied and you want to save all the data into fewer </w:t>
      </w:r>
      <w:proofErr w:type="gramStart"/>
      <w:r w:rsidRPr="004762B4">
        <w:rPr>
          <w:rFonts w:ascii="Times New Roman" w:eastAsia="Times New Roman" w:hAnsi="Times New Roman" w:cs="Times New Roman"/>
          <w:sz w:val="24"/>
          <w:szCs w:val="24"/>
          <w:lang w:eastAsia="en-IN"/>
        </w:rPr>
        <w:t>files(</w:t>
      </w:r>
      <w:proofErr w:type="gramEnd"/>
      <w:r w:rsidRPr="004762B4">
        <w:rPr>
          <w:rFonts w:ascii="Times New Roman" w:eastAsia="Times New Roman" w:hAnsi="Times New Roman" w:cs="Times New Roman"/>
          <w:sz w:val="24"/>
          <w:szCs w:val="24"/>
          <w:lang w:eastAsia="en-IN"/>
        </w:rPr>
        <w:t xml:space="preserve">no. of files = </w:t>
      </w:r>
      <w:proofErr w:type="spellStart"/>
      <w:r w:rsidRPr="004762B4">
        <w:rPr>
          <w:rFonts w:ascii="Times New Roman" w:eastAsia="Times New Roman" w:hAnsi="Times New Roman" w:cs="Times New Roman"/>
          <w:sz w:val="24"/>
          <w:szCs w:val="24"/>
          <w:lang w:eastAsia="en-IN"/>
        </w:rPr>
        <w:t>no.of</w:t>
      </w:r>
      <w:proofErr w:type="spellEnd"/>
      <w:r w:rsidRPr="004762B4">
        <w:rPr>
          <w:rFonts w:ascii="Times New Roman" w:eastAsia="Times New Roman" w:hAnsi="Times New Roman" w:cs="Times New Roman"/>
          <w:sz w:val="24"/>
          <w:szCs w:val="24"/>
          <w:lang w:eastAsia="en-IN"/>
        </w:rPr>
        <w:t xml:space="preserve"> partitions) instead of many files, use </w:t>
      </w:r>
      <w:r w:rsidRPr="004762B4">
        <w:rPr>
          <w:rFonts w:ascii="Times New Roman" w:eastAsia="Times New Roman" w:hAnsi="Times New Roman" w:cs="Times New Roman"/>
          <w:b/>
          <w:bCs/>
          <w:sz w:val="24"/>
          <w:szCs w:val="24"/>
          <w:lang w:eastAsia="en-IN"/>
        </w:rPr>
        <w:t>coalesce</w:t>
      </w:r>
      <w:r w:rsidRPr="004762B4">
        <w:rPr>
          <w:rFonts w:ascii="Times New Roman" w:eastAsia="Times New Roman" w:hAnsi="Times New Roman" w:cs="Times New Roman"/>
          <w:sz w:val="24"/>
          <w:szCs w:val="24"/>
          <w:lang w:eastAsia="en-IN"/>
        </w:rPr>
        <w:t>.</w:t>
      </w:r>
    </w:p>
    <w:p w:rsidR="00DA2D27" w:rsidRDefault="00DA2D27" w:rsidP="00DA2D27">
      <w:pPr>
        <w:pStyle w:val="Heading1"/>
      </w:pPr>
      <w:proofErr w:type="spellStart"/>
      <w:r>
        <w:t>PySpark</w:t>
      </w:r>
      <w:proofErr w:type="spellEnd"/>
      <w:r>
        <w:t xml:space="preserve"> Broadcast Variables</w:t>
      </w:r>
    </w:p>
    <w:p w:rsidR="00DA2D27" w:rsidRPr="00DA2D27" w:rsidRDefault="00DA2D27" w:rsidP="00DA2D27">
      <w:hyperlink r:id="rId9" w:history="1">
        <w:r w:rsidRPr="00AB5707">
          <w:rPr>
            <w:rStyle w:val="Hyperlink"/>
          </w:rPr>
          <w:t>https://sparkbyexamples.com/pyspark/pyspark-broadcast-variables/</w:t>
        </w:r>
      </w:hyperlink>
      <w:r>
        <w:t xml:space="preserve"> </w:t>
      </w:r>
      <w:bookmarkStart w:id="0" w:name="_GoBack"/>
      <w:bookmarkEnd w:id="0"/>
    </w:p>
    <w:p w:rsidR="00AF015B" w:rsidRDefault="00AF015B" w:rsidP="00DA2D27">
      <w:pPr>
        <w:pStyle w:val="Heading1"/>
      </w:pPr>
    </w:p>
    <w:sectPr w:rsidR="00AF015B" w:rsidSect="003B70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159FA"/>
    <w:multiLevelType w:val="multilevel"/>
    <w:tmpl w:val="3884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C0F"/>
    <w:rsid w:val="003B7079"/>
    <w:rsid w:val="00416C0F"/>
    <w:rsid w:val="004762B4"/>
    <w:rsid w:val="00503EC7"/>
    <w:rsid w:val="006818F0"/>
    <w:rsid w:val="009162FB"/>
    <w:rsid w:val="00AF015B"/>
    <w:rsid w:val="00C34E50"/>
    <w:rsid w:val="00D7449A"/>
    <w:rsid w:val="00DA2D27"/>
    <w:rsid w:val="00EB2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62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762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B233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2FB"/>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4762B4"/>
    <w:rPr>
      <w:b/>
      <w:bCs/>
    </w:rPr>
  </w:style>
  <w:style w:type="character" w:customStyle="1" w:styleId="Heading2Char">
    <w:name w:val="Heading 2 Char"/>
    <w:basedOn w:val="DefaultParagraphFont"/>
    <w:link w:val="Heading2"/>
    <w:uiPriority w:val="9"/>
    <w:rsid w:val="004762B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EB2331"/>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EB23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B2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331"/>
    <w:rPr>
      <w:rFonts w:ascii="Tahoma" w:hAnsi="Tahoma" w:cs="Tahoma"/>
      <w:sz w:val="16"/>
      <w:szCs w:val="16"/>
    </w:rPr>
  </w:style>
  <w:style w:type="character" w:styleId="Hyperlink">
    <w:name w:val="Hyperlink"/>
    <w:basedOn w:val="DefaultParagraphFont"/>
    <w:uiPriority w:val="99"/>
    <w:unhideWhenUsed/>
    <w:rsid w:val="00DA2D2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62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762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B233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2FB"/>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4762B4"/>
    <w:rPr>
      <w:b/>
      <w:bCs/>
    </w:rPr>
  </w:style>
  <w:style w:type="character" w:customStyle="1" w:styleId="Heading2Char">
    <w:name w:val="Heading 2 Char"/>
    <w:basedOn w:val="DefaultParagraphFont"/>
    <w:link w:val="Heading2"/>
    <w:uiPriority w:val="9"/>
    <w:rsid w:val="004762B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EB2331"/>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EB23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B2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331"/>
    <w:rPr>
      <w:rFonts w:ascii="Tahoma" w:hAnsi="Tahoma" w:cs="Tahoma"/>
      <w:sz w:val="16"/>
      <w:szCs w:val="16"/>
    </w:rPr>
  </w:style>
  <w:style w:type="character" w:styleId="Hyperlink">
    <w:name w:val="Hyperlink"/>
    <w:basedOn w:val="DefaultParagraphFont"/>
    <w:uiPriority w:val="99"/>
    <w:unhideWhenUsed/>
    <w:rsid w:val="00DA2D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747271">
      <w:bodyDiv w:val="1"/>
      <w:marLeft w:val="0"/>
      <w:marRight w:val="0"/>
      <w:marTop w:val="0"/>
      <w:marBottom w:val="0"/>
      <w:divBdr>
        <w:top w:val="none" w:sz="0" w:space="0" w:color="auto"/>
        <w:left w:val="none" w:sz="0" w:space="0" w:color="auto"/>
        <w:bottom w:val="none" w:sz="0" w:space="0" w:color="auto"/>
        <w:right w:val="none" w:sz="0" w:space="0" w:color="auto"/>
      </w:divBdr>
    </w:div>
    <w:div w:id="1657493090">
      <w:bodyDiv w:val="1"/>
      <w:marLeft w:val="0"/>
      <w:marRight w:val="0"/>
      <w:marTop w:val="0"/>
      <w:marBottom w:val="0"/>
      <w:divBdr>
        <w:top w:val="none" w:sz="0" w:space="0" w:color="auto"/>
        <w:left w:val="none" w:sz="0" w:space="0" w:color="auto"/>
        <w:bottom w:val="none" w:sz="0" w:space="0" w:color="auto"/>
        <w:right w:val="none" w:sz="0" w:space="0" w:color="auto"/>
      </w:divBdr>
    </w:div>
    <w:div w:id="1732656944">
      <w:bodyDiv w:val="1"/>
      <w:marLeft w:val="0"/>
      <w:marRight w:val="0"/>
      <w:marTop w:val="0"/>
      <w:marBottom w:val="0"/>
      <w:divBdr>
        <w:top w:val="none" w:sz="0" w:space="0" w:color="auto"/>
        <w:left w:val="none" w:sz="0" w:space="0" w:color="auto"/>
        <w:bottom w:val="none" w:sz="0" w:space="0" w:color="auto"/>
        <w:right w:val="none" w:sz="0" w:space="0" w:color="auto"/>
      </w:divBdr>
    </w:div>
    <w:div w:id="191496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parkbyexamples.com/pyspark/pyspark-broadcast-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7</cp:revision>
  <dcterms:created xsi:type="dcterms:W3CDTF">2021-06-27T09:54:00Z</dcterms:created>
  <dcterms:modified xsi:type="dcterms:W3CDTF">2021-06-27T10:19:00Z</dcterms:modified>
</cp:coreProperties>
</file>