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Library renovation report</w:t>
      </w:r>
    </w:p>
    <w:p>
      <w:r>
        <w:t>Needle: emerald beacon renovation. The committee reviewed the quarterly plan and agreed to move the archive to the new building. Each department will label its boxes before the end of the month, and the facilities team will schedule the move over two weekends so that no office is closed during working hours.</w:t>
      </w:r>
    </w:p>
    <w:p>
      <w:pPr>
        <w:pStyle w:val="Heading1"/>
      </w:pPr>
      <w:r>
        <w:t>Costs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Quantity</w:t>
            </w:r>
          </w:p>
        </w:tc>
        <w:tc>
          <w:tcPr>
            <w:tcW w:type="dxa" w:w="2880"/>
          </w:tcPr>
          <w:p>
            <w:r>
              <w:t>Cost</w:t>
            </w:r>
          </w:p>
        </w:tc>
      </w:tr>
      <w:tr>
        <w:tc>
          <w:tcPr>
            <w:tcW w:type="dxa" w:w="2880"/>
          </w:tcPr>
          <w:p>
            <w:r>
              <w:t>Shelves</w:t>
            </w:r>
          </w:p>
        </w:tc>
        <w:tc>
          <w:tcPr>
            <w:tcW w:type="dxa" w:w="2880"/>
          </w:tcPr>
          <w:p>
            <w:r>
              <w:t>40</w:t>
            </w:r>
          </w:p>
        </w:tc>
        <w:tc>
          <w:tcPr>
            <w:tcW w:type="dxa" w:w="2880"/>
          </w:tcPr>
          <w:p>
            <w:r>
              <w:t>12,000.00</w:t>
            </w:r>
          </w:p>
        </w:tc>
      </w:tr>
      <w:tr>
        <w:tc>
          <w:tcPr>
            <w:tcW w:type="dxa" w:w="2880"/>
          </w:tcPr>
          <w:p>
            <w:r>
              <w:t>Lamps</w:t>
            </w:r>
          </w:p>
        </w:tc>
        <w:tc>
          <w:tcPr>
            <w:tcW w:type="dxa" w:w="2880"/>
          </w:tcPr>
          <w:p>
            <w:r>
              <w:t>25</w:t>
            </w:r>
          </w:p>
        </w:tc>
        <w:tc>
          <w:tcPr>
            <w:tcW w:type="dxa" w:w="2880"/>
          </w:tcPr>
          <w:p>
            <w:r>
              <w:t>3,750.00</w:t>
            </w:r>
          </w:p>
        </w:tc>
      </w:tr>
      <w:tr>
        <w:tc>
          <w:tcPr>
            <w:tcW w:type="dxa" w:w="2880"/>
          </w:tcPr>
          <w:p>
            <w:r>
              <w:t>Chairs</w:t>
            </w:r>
          </w:p>
        </w:tc>
        <w:tc>
          <w:tcPr>
            <w:tcW w:type="dxa" w:w="2880"/>
          </w:tcPr>
          <w:p>
            <w:r>
              <w:t>60</w:t>
            </w:r>
          </w:p>
        </w:tc>
        <w:tc>
          <w:tcPr>
            <w:tcW w:type="dxa" w:w="2880"/>
          </w:tcPr>
          <w:p>
            <w:r>
              <w:t>9,000.00</w:t>
            </w:r>
          </w:p>
        </w:tc>
      </w:tr>
    </w:tbl>
    <w:p>
      <w:pPr>
        <w:pStyle w:val="Heading1"/>
      </w:pPr>
      <w:r>
        <w:t>Floor plan</w:t>
      </w:r>
    </w:p>
    <w:p>
      <w:r>
        <w:drawing>
          <wp:inline xmlns:a="http://schemas.openxmlformats.org/drawingml/2006/main" xmlns:pic="http://schemas.openxmlformats.org/drawingml/2006/picture">
            <wp:extent cx="2743200" cy="1371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1371600"/>
                    </a:xfrm>
                    <a:prstGeom prst="rect"/>
                  </pic:spPr>
                </pic:pic>
              </a:graphicData>
            </a:graphic>
          </wp:inline>
        </w:drawing>
      </w:r>
    </w:p>
    <w:p>
      <w:r>
        <w:t>The work is planned for the summer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rag-search tests</dc:creator>
  <cp:keywords/>
  <dc:description>generated by python-docx</dc:description>
  <cp:lastModifiedBy/>
  <cp:revision>1</cp:revision>
  <dcterms:created xsi:type="dcterms:W3CDTF">2024-01-01T00:00:00Z</dcterms:created>
  <dcterms:modified xsi:type="dcterms:W3CDTF">2024-01-01T00:00:00Z</dcterms:modified>
  <cp:category/>
</cp:coreProperties>
</file>