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frame-only census of game mechanics, fitted on ARC-AGI-3, failed its validity test on MiniGrid/BabyAI and Procgen</w:t>
      </w:r>
    </w:p>
    <w:p>
      <w:pPr>
        <w:pStyle w:val="Author"/>
      </w:pPr>
      <w:r>
        <w:t xml:space="preserve">Rahul Kumar Mishra</w:t>
      </w:r>
    </w:p>
    <w:p>
      <w:pPr>
        <w:pStyle w:val="FirstParagraph"/>
      </w:pPr>
      <w:r>
        <w:t xml:space="preserve">Independent Researcher, Ranchi, Jharkhand, India</w:t>
      </w:r>
    </w:p>
    <w:p>
      <w:pPr>
        <w:pStyle w:val="BodyText"/>
      </w:pPr>
      <w:r>
        <w:t xml:space="preserve">ORCID 0009-0004-9671-4055</w:t>
      </w:r>
    </w:p>
    <w:p>
      <w:pPr>
        <w:pStyle w:val="BodyText"/>
      </w:pPr>
      <w:r>
        <w:t xml:space="preserve">mishra.rahul98@gmail.com</w:t>
      </w:r>
    </w:p>
    <w:p>
      <w:pPr>
        <w:pStyle w:val="BodyText"/>
      </w:pPr>
      <w:r>
        <w:t xml:space="preserve">Article type: Empirical Article</w:t>
      </w:r>
    </w:p>
    <w:p>
      <w:pPr>
        <w:pStyle w:val="BodyText"/>
      </w:pPr>
      <w:r>
        <w:t xml:space="preserve">A preprint of this article is on OSF Preprints under CC-BY 4.0: DOI [to be inserted]</w:t>
      </w:r>
    </w:p>
    <w:p>
      <w:pPr>
        <w:pStyle w:val="Heading1"/>
      </w:pPr>
      <w:bookmarkStart w:id="9" w:name="_keywords"/>
      <w:r>
        <w:t xml:space="preserve">Keywords</w:t>
      </w:r>
      <w:bookmarkEnd w:id="9"/>
    </w:p>
    <w:p>
      <w:pPr>
        <w:pStyle w:val="FirstParagraph"/>
      </w:pPr>
      <w:r>
        <w:t xml:space="preserve">preregistration; negative result; game-playing agents; benchmark mechanics; MiniGrid, Procgen, ARC-AGI-3</w:t>
      </w:r>
    </w:p>
    <w:p>
      <w:pPr>
        <w:pStyle w:val="Heading1"/>
      </w:pPr>
      <w:bookmarkStart w:id="10" w:name="_ff39704897c061ee1508826ecf6a9e918cee9ad"/>
      <w:r>
        <w:t xml:space="preserve">Take-home message</w:t>
      </w:r>
      <w:bookmarkEnd w:id="10"/>
    </w:p>
    <w:p>
      <w:pPr>
        <w:pStyle w:val="FirstParagraph"/>
      </w:pPr>
      <w:r>
        <w:t xml:space="preserve">A probe battery fitted on one game benchmark did not measure the game mechanics it was built to measure on two other benchmarks. The preregistered validity test caught this before any claim was made. Test an instrument against known truth where its parameters are set, before running it elsewhere.</w:t>
      </w:r>
    </w:p>
    <w:p>
      <w:pPr>
        <w:pStyle w:val="Heading1"/>
      </w:pPr>
      <w:bookmarkStart w:id="11" w:name="_abstract"/>
      <w:r>
        <w:t xml:space="preserve">Abstract</w:t>
      </w:r>
      <w:bookmarkEnd w:id="11"/>
    </w:p>
    <w:p>
      <w:pPr>
        <w:pStyle w:val="FirstParagraph"/>
      </w:pPr>
      <w:r>
        <w:t xml:space="preserve">Before any confirmatory run, I registered the claim that a fixed battery of frame-only probes, the assumption census, would report five mechanical assumptions of unseen games as each game’s source code states them. It would also predict on which games assumption-driven frame-only agents complete the first level. I froze every census parameter on eight ARC-AGI-3 games. Test V1 compared the census with source-derived truth tables; test V2 compared a census score with first-level completion by three agents. The census and the agents ran on 161 MiniGrid/BabyAI environments under two action conditions and on 14 Procgen games under two camera settings, with 10 seeds and 20,000 actions per run, 10,500 runs in all. By the registered outcome table the result is a refutation, under the clause</w:t>
      </w:r>
      <w:r>
        <w:t xml:space="preserve"> </w:t>
      </w:r>
      <w:r>
        <w:t xml:space="preserve">“V1 fails on any suite”</w:t>
      </w:r>
      <w:r>
        <w:t xml:space="preserve">. V1 failed for three of five assumptions under absolute moves and for four of five under primitive actions on MiniGrid/BabyAI, and for four of five on Procgen. No agent passed V2 on any suite. On all six primary MiniGrid/BabyAI lines, a nuisance baseline built from grid area, action count and color count ranked the games better than the census did. An exploratory reading made after the outcome suggests that for four of the five assumptions the probes and the truth definitions were not the same construct. The lesson is procedural: check an instrument against known truth where its parameters are set, and on the pilot games, before any confirmatory use.</w:t>
      </w:r>
    </w:p>
    <w:p>
      <w:pPr>
        <w:pStyle w:val="Heading1"/>
      </w:pPr>
      <w:bookmarkStart w:id="12" w:name="_introduction"/>
      <w:r>
        <w:t xml:space="preserve">Introduction</w:t>
      </w:r>
      <w:bookmarkEnd w:id="12"/>
    </w:p>
    <w:p>
      <w:pPr>
        <w:pStyle w:val="FirstParagraph"/>
      </w:pPr>
      <w:r>
        <w:t xml:space="preserve">A frame-only game agent sees the picture on the screen and is told when a level or the game ends, and nothing more. It receives no score, no list of objects, no text and no access to the game’s code, and it chooses an action from a fixed set after each frame. Agents of this kind are a natural baseline for benchmarks of unseen games, such as ARC-AGI-3, where each game must be learned from interaction alone. The agents studied here carry built-in assumptions about how games work, for example that one object on the screen is the player and that the arrow keys move it one cell at a time. The idea this study tested is that such an agent does well where its assumptions hold and poorly where they fail. If one could tell, before running any agent, which assumptions an unseen game satisfies, one could then predict where such agents will finish the first level, and choose or build agents accordingly.</w:t>
      </w:r>
    </w:p>
    <w:p>
      <w:pPr>
        <w:pStyle w:val="BodyText"/>
      </w:pPr>
      <w:r>
        <w:t xml:space="preserve">The assumption census was meant to supply that prediction.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t xml:space="preserve">I preregistered the claim because it is easy to fool oneself with an instrument of this kind. I had tuned its parameters while developing a planner on a small set of games, and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 Bertinetto et al. (2021) describe this model for machine learning research, where the experimental protocol is fixed and reviewed before the experiments are run.</w:t>
      </w:r>
    </w:p>
    <w:p>
      <w:pPr>
        <w:pStyle w:val="BodyText"/>
      </w:pPr>
      <w:r>
        <w:t xml:space="preserve">The closest earlier attempt to predict agent success from game mechanics reported a mainly negative result. Bontrager et al. (2016) read mechanics features from the rule files of general video game playing games. A clustering of the games by those features agreed poorly with a clustering by controller performance, and the authors concluded that the features were not good indicators of performance. A selection agent built on two of the features did beat each of its constituent controllers on the same games. One possible objection to that design is that features read from rules say nothing about whether an agent could perceive them. Another is that the target, the best controller from a portfolio, was not tied to any assumption the features express. This study was designed to meet both objections. The census measures its features from frames, as an agent would. Its accuracy against source-derived truth is tested separately, as test V1. Its prediction target, first-level completion by a stated class of agents that rely on the assumptions, is tested as V2, registered before any run.</w:t>
      </w:r>
    </w:p>
    <w:p>
      <w:pPr>
        <w:pStyle w:val="BodyText"/>
      </w:pPr>
      <w:r>
        <w:t xml:space="preserve">The census builds on earlier work on finding, from frames alone, the part of the screen that the actions control. Bellemare et al. (2012) brought contingency awareness into reinforcement learning, defining contingent regions as the parts of an observation whose next value depends on the agent’s action. Choi et al. (2019) learned controllable regions with a neural network. The first two census assumptions take that idea from them and replace the learned components with fixed counting rules.</w:t>
      </w:r>
    </w:p>
    <w:p>
      <w:pPr>
        <w:pStyle w:val="BodyText"/>
      </w:pPr>
      <w:r>
        <w:t xml:space="preserve">I developed the census on eight of the 25 public ARC-AGI-3 games and kept the other 17 as a held-out set whose source code I never opened. The split is fixed in a file of the repository. That file held 18 games in the held-out set until 21 September 2026, when I moved one of them, dc22, to the development set to debug the agent’s wall learning on it, before any detailed study of the game. The reason for a fixed split is the problem of holdout reuse: when the same held-out set is consulted again and again while choices are made, choices can come to fit it (Blum &amp; Hardt, 2015). Roelofs et al. (2019) measured this effect across many machine learning competitions and found little of it. The two further suites, MiniGrid/BabyAI, which joins MiniGrid (Chevalier-Boisvert et al., 2023) and BabyAI (Chevalier-Boisvert et al., 2019), and Procgen (Cobbe et al., 2020), were chosen to test whether the census transfers to games it was never tuned on.</w:t>
      </w:r>
    </w:p>
    <w:p>
      <w:pPr>
        <w:pStyle w:val="BodyText"/>
      </w:pPr>
      <w:r>
        <w:t xml:space="preserve">The outcome, by the registered outcome table, is a refutation: the census failed the validity test V1 on both confirmatory suites, and no agent passed the prediction test V2 on any suite.</w:t>
      </w:r>
    </w:p>
    <w:p>
      <w:pPr>
        <w:pStyle w:val="Heading1"/>
      </w:pPr>
      <w:bookmarkStart w:id="13" w:name="_method"/>
      <w:r>
        <w:t xml:space="preserve">Method</w:t>
      </w:r>
      <w:bookmarkEnd w:id="13"/>
    </w:p>
    <w:p>
      <w:pPr>
        <w:pStyle w:val="Heading2"/>
      </w:pPr>
      <w:bookmarkStart w:id="14" w:name="_b203eedc1a24176141b5778871a1fe0d9421d2e"/>
      <w:r>
        <w:t xml:space="preserve">The instrument</w:t>
      </w:r>
      <w:bookmarkEnd w:id="14"/>
    </w:p>
    <w:p>
      <w:pPr>
        <w:pStyle w:val="FirstParagraph"/>
      </w:pPr>
      <w:r>
        <w:t xml:space="preserve">The census reads the run of one agent, the planner N described below, on a game for 20,000 actions per seed. It uses the frames of that run and the signals that a level or the game has ended,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and the planner located that object. Acceptance needs three agreeing presses with a margin of 2:1 over the next most frequent displacement.</w:t>
      </w:r>
    </w:p>
    <w:p>
      <w:pPr>
        <w:pStyle w:val="BodyText"/>
      </w:pPr>
      <w:r>
        <w:t xml:space="preserve">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and it is undetermined otherwise. The verdict for a game is the majority over its 10 seeds: it holds if at least half of the seeds say so, else it fails if at least half say so, else it is undetermined.</w:t>
      </w:r>
    </w:p>
    <w:p>
      <w:pPr>
        <w:pStyle w:val="BodyText"/>
      </w:pPr>
      <w:r>
        <w:t xml:space="preserve">I froze every parameter of the census before registration and copied each into the protocol from its source file. They include three agreeing presses to accept a key, the 2:1 margin, at most eight presses per key while learning, a planner search limit of 40000 nodes, and a motion detector that needs at least 2 changed cells. Six files hold the census and its two agents. Their git blob hashes are registered (Appendix D), and the runner refused to start if any of them differed.</w:t>
      </w:r>
    </w:p>
    <w:p>
      <w:pPr>
        <w:pStyle w:val="BodyText"/>
      </w:pPr>
      <w:r>
        <w:t xml:space="preserve">I set these parameters while developing the planner on the eight ARC-AGI-3 training games. The protocol provided for a truth table derived from source for those eight games, and for V1 on them, labeled development, once that table existed. I never wrote the table, so the census was never scored against source-derived truth on its development instance. The registered ARC-AGI-3 baseline ran my agents R and N on all 25 public games with 10 seeds and 20,000 actions under the registered code, 500 runs in all. The protocol also listed I1 for ARC-AGI-3, and I1 was not run there under the registered code. Both omissions are among the deviations below.</w:t>
      </w:r>
    </w:p>
    <w:p>
      <w:pPr>
        <w:pStyle w:val="Heading2"/>
      </w:pPr>
      <w:bookmarkStart w:id="15" w:name="_b5779da3dc3f702d3892f46f5805296494efb17"/>
      <w:r>
        <w:t xml:space="preserve">The suites and how each is presented</w:t>
      </w:r>
      <w:bookmarkEnd w:id="15"/>
    </w:p>
    <w:p>
      <w:pPr>
        <w:pStyle w:val="FirstParagraph"/>
      </w:pPr>
      <w:r>
        <w:t xml:space="preserve">The frozen code presses six key identifiers only, so every suite is presented to it through a fixed key map of at most six actions. On MiniGrid/BabyAI, the environments of MiniGrid (Chevalier-Boisvert et al., 2023) and BabyAI (Chevalier-Boisvert et al., 2019) run with minigrid 3.1.0, gymnasium 1.3.0 and Python 3.11.9, and there are two conditions. Under primitive actions the keys are turn left, turn right, forward, pickup, drop and toggle. Under absolute moves they are north, south, west and east, each a turn to face that direction followed by a step forward, plus pickup and toggle. The action</w:t>
      </w:r>
      <w:r>
        <w:t xml:space="preserve"> </w:t>
      </w:r>
      <w:r>
        <w:t xml:space="preserve">“done”</w:t>
      </w:r>
      <w:r>
        <w:t xml:space="preserve"> </w:t>
      </w:r>
      <w:r>
        <w:t xml:space="preserve">is offered in neither condition, and</w:t>
      </w:r>
      <w:r>
        <w:t xml:space="preserve"> </w:t>
      </w:r>
      <w:r>
        <w:t xml:space="preserve">“drop”</w:t>
      </w:r>
      <w:r>
        <w:t xml:space="preserve"> </w:t>
      </w:r>
      <w:r>
        <w:t xml:space="preserve">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t xml:space="preserve">On Procgen (procgen 0.10.7, Python 3.10, easy mode, sequential levels) the keys are up, down, left, right and two special actions. Frames are 64 × 64 color images, mapped to integer indices by exact color and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The protocol therefore registered an operating range before any run: the games whose agent spans at least 2 pixels. Nine of the 14 confirmatory games fall in that range, and Procgen results are reported over all 14 games and again over these nine.</w:t>
      </w:r>
    </w:p>
    <w:p>
      <w:pPr>
        <w:pStyle w:val="BodyText"/>
      </w:pPr>
      <w:r>
        <w:t xml:space="preserve">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2"/>
      </w:pPr>
      <w:bookmarkStart w:id="16" w:name="_0b8188f470276749243eb734f3fc59df7237cff"/>
      <w:r>
        <w:t xml:space="preserve">Truth from source</w:t>
      </w:r>
      <w:bookmarkEnd w:id="16"/>
    </w:p>
    <w:p>
      <w:pPr>
        <w:pStyle w:val="FirstParagraph"/>
      </w:pPr>
      <w:r>
        <w:t xml:space="preserve">Each suite has a truth table, committed before the protocol was registered, with one line per environment. For MiniGrid/BabyAI I read the entries by hand from the installed minigrid 3.1.0 source, once per environment class and its step function or instruction verifier. For Procgen I read them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2"/>
      </w:pPr>
      <w:bookmarkStart w:id="17" w:name="_agents"/>
      <w:r>
        <w:t xml:space="preserve">Agents</w:t>
      </w:r>
      <w:bookmarkEnd w:id="17"/>
    </w:p>
    <w:p>
      <w:pPr>
        <w:pStyle w:val="FirstParagraph"/>
      </w:pPr>
      <w:r>
        <w:t xml:space="preserve">Three agents ran on every game, seed and condition. R is my explorer, which tries actions and records the frames it has seen, and it is evidence for V2. N is my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and it is evidence for V2. I1’s own code maps five actions, so it has no toggle on MiniGrid/BabyAI and no second special action on Procgen.</w:t>
      </w:r>
    </w:p>
    <w:p>
      <w:pPr>
        <w:pStyle w:val="Heading2"/>
      </w:pPr>
      <w:bookmarkStart w:id="18" w:name="_85f267cad25e618fcf31b97941ae2f1bb7d7d19"/>
      <w:r>
        <w:t xml:space="preserve">The preregistration</w:t>
      </w:r>
      <w:bookmarkEnd w:id="18"/>
    </w:p>
    <w:p>
      <w:pPr>
        <w:pStyle w:val="FirstParagraph"/>
      </w:pPr>
      <w:r>
        <w:t xml:space="preserve">I registered version v1 of the protocol on 27 September 2026 as git tag prereg-v1 on commit 19f2a9f25043997d1deffd5976f2f2150e5f086f. On the same day I registered it on the Open Science Framework (OSF) as an open-ended registration (https://osf.io/2znhw). It fixed the claim, the agents, the census rules and constants, the truth tables, the suites and their splits between pilot and confirmatory games, the seeds and budget, the tests and thresholds, the analysis code and the outcome table. The protocol gives each census constant with its file, line and commit. LEARN_AGREE = 3 is at scripts/g_nav.py:55, the 2:1 margin at scripts/g_nav.py:756, LEARN_MAX = 8 at scripts/g_nav.py:56 and the search limit of 40000 nodes at scripts/g_nav.py:54, all at commit ccc4d57. The motion threshold of 2 cells is at scripts/g_motion.py:20, commit 378345f.</w:t>
      </w:r>
    </w:p>
    <w:p>
      <w:pPr>
        <w:pStyle w:val="BodyText"/>
      </w:pPr>
      <w:r>
        <w:t xml:space="preserve">The claim sentence differs in wording between the two registered texts of v1. The git-tagged protocol names the goal-identification cost G as part of the battery and says</w:t>
      </w:r>
      <w:r>
        <w:t xml:space="preserve"> </w:t>
      </w:r>
      <w:r>
        <w:t xml:space="preserve">“in three suites”</w:t>
      </w:r>
      <w:r>
        <w:t xml:space="preserve">. The OSF text, quoted in the Purpose section, describes G as</w:t>
      </w:r>
      <w:r>
        <w:t xml:space="preserve"> </w:t>
      </w:r>
      <w:r>
        <w:t xml:space="preserve">“measured and reported alongside, not tested”</w:t>
      </w:r>
      <w:r>
        <w:t xml:space="preserve"> </w:t>
      </w:r>
      <w:r>
        <w:t xml:space="preserve">and names no number of suites. The tests, thresholds and outcome table are the same in both.</w:t>
      </w:r>
    </w:p>
    <w:p>
      <w:pPr>
        <w:pStyle w:val="BodyText"/>
      </w:pPr>
      <w:r>
        <w:t xml:space="preserve">The protocol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Every change had to be logged in the next version’s dated diff section. After the pilot I registered version v1.1 on 27 September 2026 as git tag prereg-v1.1 on commit 8b2b2b9b432dbea4ba5f62cfceb1aad5558d1ecc, and on the same day on the OSF (https://osf.io/zu5vq). Both registrations are under embargo until 30 June 2030, and their registered texts are in the repository. I wrote version v1.2 after the outcome and tagged it prereg-v1.2 on commit 66e560645d9d98bca39ee7da9b1039ada1bc579b on 13 October 2026.</w:t>
      </w:r>
    </w:p>
    <w:p>
      <w:pPr>
        <w:pStyle w:val="BodyText"/>
      </w:pPr>
      <w:r>
        <w:t xml:space="preserve">The amendment trail has 16 entries, D1 to D16, given in full in Appendix A. D1 to D15 form the v1.1 diff, written on 27 September 2026 after the pilot and before any confirmatory game was played. D1 to D4 fix how each suite is presented through the six-key limit, D5 sets the per-run time caps, D6 the runner, D7 the boundary of I1 and D8 the infrastructure checks. D9 and D9b set the exclusions from V2, and D10 and D11 the analysis code at the tag. D12 sets a time cap for ARC-AGI-3 and the repeat of eight ARC runs that an unregistered clock had cut short. D13 records the Procgen camera identity, D14 the absence of any adapter change after the pilot, and D15 a separate replay planned for G. D16 is the only entry of v1.2, written after the outcome: it withdraws G without measuring it. No threshold, parameter, exclusion list, truth entry or analysis script changed after the prereg-v1.1 tag.</w:t>
      </w:r>
    </w:p>
    <w:p>
      <w:pPr>
        <w:pStyle w:val="Heading2"/>
      </w:pPr>
      <w:bookmarkStart w:id="19" w:name="_tests"/>
      <w:r>
        <w:t xml:space="preserve">Tests</w:t>
      </w:r>
      <w:bookmarkEnd w:id="19"/>
    </w:p>
    <w:p>
      <w:pPr>
        <w:pStyle w:val="FirstParagraph"/>
      </w:pPr>
      <w:r>
        <w:t xml:space="preserve">Test V1, instrument validity, compares the census’s game verdict with the truth table, per suite, condition and assumption, over the confirmatory games. It passes when the share of agreeing games is at least 0.90 and Cohen’s κ is at least 0.70. It fails when agreement is below 0.75, and anything between is</w:t>
      </w:r>
      <w:r>
        <w:t xml:space="preserve"> </w:t>
      </w:r>
      <w:r>
        <w:t xml:space="preserve">“neither”</w:t>
      </w:r>
      <w:r>
        <w:t xml:space="preserve">. κ is computed only where both truth values have at least 3 games; elsewhere agreement decides alone. An undetermined census verdict never counts as agreement, and for κ it is mapped to the value opposite the truth. That treatment of</w:t>
      </w:r>
      <w:r>
        <w:t xml:space="preserve"> </w:t>
      </w:r>
      <w:r>
        <w:t xml:space="preserve">“undetermined”</w:t>
      </w:r>
      <w:r>
        <w:t xml:space="preserve"> </w:t>
      </w:r>
      <w:r>
        <w:t xml:space="preserve">is in the registered text, which reads</w:t>
      </w:r>
      <w:r>
        <w:t xml:space="preserve"> </w:t>
      </w:r>
      <w:r>
        <w:t xml:space="preserve">“An</w:t>
      </w:r>
      <w:r>
        <w:t xml:space="preserve"> </w:t>
      </w:r>
      <w:r>
        <w:t xml:space="preserve">‘undetermined’</w:t>
      </w:r>
      <w:r>
        <w:t xml:space="preserve"> </w:t>
      </w:r>
      <w:r>
        <w:t xml:space="preserve">census never agrees. For κ it is mapped to the value opposite the truth.”</w:t>
      </w:r>
      <w:r>
        <w:t xml:space="preserve"> </w:t>
      </w:r>
      <w:r>
        <w:t xml:space="preserve">The frozen analysis code at the tag implements the same rule.</w:t>
      </w:r>
    </w:p>
    <w:p>
      <w:pPr>
        <w:pStyle w:val="BodyText"/>
      </w:pPr>
      <w:r>
        <w:t xml:space="preserve">Test V2, predictive validity, works per suite, condition and agent. Each game has a census score, the number of the five assumptions whose verdict holds (undetermined does not hold). It also has a conjunctive prediction, that A2, A3, A4 and A5 all hold, and an outcome: the agent completed the first level in at least half of its 10 seeds. The score is judged by the area under the receiver operating characteristic curve (AUROC) for the outcome. V2 passes when four conditions all hold. The AUROC is at least 0.80. The lower end of its 95% bootstrap interval, from 2,000 resamples of games with seed 20260927, is above 0.60. The balanced accuracy of the conjunctive prediction is at least 0.80. The AUROC exceeds that of a nuisance baseline by at least 0.10.</w:t>
      </w:r>
    </w:p>
    <w:p>
      <w:pPr>
        <w:pStyle w:val="BodyText"/>
      </w:pPr>
      <w:r>
        <w:t xml:space="preserve">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and a suite fails V2 when every non-void evidence agent fails. On MiniGrid/BabyAI the registered text tests V2 under absolute moves and reports it under primitive actions. On ARC-AGI-3, V2 on the 17 held-out games is reported and not tested.</w:t>
      </w:r>
    </w:p>
    <w:p>
      <w:pPr>
        <w:pStyle w:val="BodyText"/>
      </w:pPr>
      <w:r>
        <w:t xml:space="preserve">Test V3, parameter transfer, requires every census constant and frozen file to be identical on every suite. The protocol registered it as a check of the adapter and code fields of every row. The analysis code does not compute that check, and no V3 line exists among its outputs. What the record does show is that the runner compared the six frozen files with their registered hashes before each confirmatory block and refused to start on any difference, and that its logs report all six matching for both blocks. The missing row-level check is among the deviations.</w:t>
      </w:r>
    </w:p>
    <w:p>
      <w:pPr>
        <w:pStyle w:val="Heading2"/>
      </w:pPr>
      <w:bookmarkStart w:id="20" w:name="_c5768e4841a9c56dbe87154b220c6809fec6ba8"/>
      <w:r>
        <w:t xml:space="preserve">Exclusions from V2</w:t>
      </w:r>
      <w:bookmarkEnd w:id="20"/>
    </w:p>
    <w:p>
      <w:pPr>
        <w:pStyle w:val="FirstParagraph"/>
      </w:pPr>
      <w: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The action may trigger success, or it may be a precondition of every successful episode. One environment has no success at all and is excluded for every agent. For R and N the rule excludes 6 environments under primitive actions and 49 under absolute moves, leaving 155 and 112. In the pilot, I1, which has no toggle, completed no level on a locked-door environment in any of its 20 runs. D9b therefore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Appendix B.</w:t>
      </w:r>
    </w:p>
    <w:p>
      <w:pPr>
        <w:pStyle w:val="Heading2"/>
      </w:pPr>
      <w:bookmarkStart w:id="21" w:name="_1187481608c18c697ba2b770d6ce5ed284f1ea4"/>
      <w:r>
        <w:t xml:space="preserve">Seeds, budget and caps</w:t>
      </w:r>
      <w:bookmarkEnd w:id="21"/>
    </w:p>
    <w:p>
      <w:pPr>
        <w:pStyle w:val="FirstParagraph"/>
      </w:pPr>
      <w: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it started on 28 September 2026 and had finished by 13 October 2026.</w:t>
      </w:r>
    </w:p>
    <w:p>
      <w:pPr>
        <w:pStyle w:val="Heading2"/>
      </w:pPr>
      <w:bookmarkStart w:id="22" w:name="_b9be8f5f23c54bc3d5bc3528e419997d2d4e293"/>
      <w:r>
        <w:t xml:space="preserve">Checks before and after the runs</w:t>
      </w:r>
      <w:bookmarkEnd w:id="22"/>
    </w:p>
    <w:p>
      <w:pPr>
        <w:pStyle w:val="FirstParagraph"/>
      </w:pPr>
      <w:r>
        <w:t xml:space="preserve">Four infrastructure checks were registered, and none computes a census or a test statistic. A fidelity check played 200 random actions twice per game and condition. It found identical frames in 334 of 334 comparisons on MiniGrid/BabyAI and 32 of 32 on Procgen. A pilot check read the 480 pilot runs, 360 on MiniGrid/BabyAI and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All 270 of 270 pairs were identical in every field except timing and the condition labels, with 0 missing. The analysis code and the determinism check passed 20 of 20 synthetic tests at the tag before the analysis read any confirmatory row.</w:t>
      </w:r>
    </w:p>
    <w:p>
      <w:pPr>
        <w:pStyle w:val="Heading2"/>
      </w:pPr>
      <w:bookmarkStart w:id="23" w:name="_9711eee7acb6aa1b33a5aeaee4b03a164c8f265"/>
      <w:r>
        <w:t xml:space="preserve">The registered outcome table</w:t>
      </w:r>
      <w:bookmarkEnd w:id="23"/>
    </w:p>
    <w:p>
      <w:pPr>
        <w:pStyle w:val="FirstParagraph"/>
      </w:pPr>
      <w:r>
        <w:t xml:space="preserve">The protocol fixed three outcomes and the venue that each would allow, before any confirmatory run. Support needed V1 to pass on both suites and V2 to pass for R and I1. Partial needed V1 to pass everywhere with a weaker V2. Refute follows when V1 fails on any suite, or V2 fails on MiniGrid/BabyAI under absolute moves, or V2 is void on every suite. Its registered venue is</w:t>
      </w:r>
      <w:r>
        <w:t xml:space="preserve"> </w:t>
      </w:r>
      <w:r>
        <w:t xml:space="preserve">“repository record only, at most an arXiv note”</w:t>
      </w:r>
      <w:r>
        <w:t xml:space="preserve">. The table is reproduced verbatim in the Results (Table 4).</w:t>
      </w:r>
    </w:p>
    <w:p>
      <w:pPr>
        <w:pStyle w:val="Heading2"/>
      </w:pPr>
      <w:bookmarkStart w:id="24" w:name="_a016eb24157e82a6f1c3b01cfc1e7b17f42c3ef"/>
      <w:r>
        <w:t xml:space="preserve">Deviations from the registered protocol</w:t>
      </w:r>
      <w:bookmarkEnd w:id="24"/>
    </w:p>
    <w:p>
      <w:pPr>
        <w:pStyle w:val="FirstParagraph"/>
      </w:pPr>
      <w:r>
        <w:t xml:space="preserve">Eight departures from the registered protocol, or from what it implies, are recorded here. None changes a test, a threshold or the outcome. The first is D16, written on 13 October 2026, after the outcome was known. The registered claim says that the goal-identification cost G is</w:t>
      </w:r>
      <w:r>
        <w:t xml:space="preserve"> </w:t>
      </w:r>
      <w:r>
        <w:t xml:space="preserve">“measured and reported alongside, not tested”</w:t>
      </w:r>
      <w:r>
        <w:t xml:space="preserve">, and D16 withdrew G without measuring it, because the instrument it accompanies had failed V1. The second concerns the venue. The registered consequence of a refutation is</w:t>
      </w:r>
      <w:r>
        <w:t xml:space="preserve"> </w:t>
      </w:r>
      <w:r>
        <w:t xml:space="preserve">“repository record only, at most an arXiv note”</w:t>
      </w:r>
      <w:r>
        <w:t xml:space="preserve">. On 13 October 2026, with no arXiv endorsement available to me, I recorded that the clause would be read as</w:t>
      </w:r>
      <w:r>
        <w:t xml:space="preserve"> </w:t>
      </w:r>
      <w:r>
        <w:t xml:space="preserve">“at most a preprint”</w:t>
      </w:r>
      <w:r>
        <w:t xml:space="preserve"> </w:t>
      </w:r>
      <w:r>
        <w:t xml:space="preserve">and that no journal submission would follow. After the preprint drafts of 14 October 2026 I reversed the second part and chose to submit this article to a journal that publishes negative results. This changes no analysis and no number.</w:t>
      </w:r>
    </w:p>
    <w:p>
      <w:pPr>
        <w:pStyle w:val="BodyText"/>
      </w:pPr>
      <w:r>
        <w:t xml:space="preserve">The third is a defect in the frozen analysis code, found on 13 October 2026 and recorded, not corrected. The code computes the two ARC-AGI-3 lines of V2 over all 25 public games, the eight development games included, instead of over the 17 held-out games. It also prints a per-agent verdict on them that has no registered meaning. The fourth is an omission rather than a departure. The pilot runs contained census verdicts for eight games that have truth-table entries, and a V1 comparison on them before the v1.1 tag would have shown the failure before the confirmatory runs. It was not registered and I did not make it; I recorded it as a lesson on 13 October 2026. The fifth I found on 14 October 2026, while writing this article. The registered text tests V2 on MiniGrid/BabyAI under absolute moves and only reports it under primitive actions, but the frozen code prints verdicts, and a suite line, for the primitive-action lines as well. Those verdicts enter no outcome clause.</w:t>
      </w:r>
    </w:p>
    <w:p>
      <w:pPr>
        <w:pStyle w:val="BodyText"/>
      </w:pPr>
      <w:r>
        <w:t xml:space="preserve">The last three I found on 14 October 2026, while reviewing this article against the protocol. The sixth: v1 provided for a truth table of the eight ARC-AGI-3 development games and for V1 on them, labeled development, once the table existed. The record listed the table as still outstanding at the v1.1 tag, and I never wrote it. The seventh: v1 listed I1 among the agents to run on ARC-AGI-3, but the registered ARC baseline ran R and N only. The eighth: V3 was registered as a check of every row’s adapter and code fields, and the analysis code never computed it. The ARC-AGI-3 lines are reported and not tested, and V3 matters only for the outcome Support, so none of these three changes the outcome.</w:t>
      </w:r>
    </w:p>
    <w:p>
      <w:pPr>
        <w:pStyle w:val="Heading1"/>
      </w:pPr>
      <w:bookmarkStart w:id="25" w:name="_results"/>
      <w:r>
        <w:t xml:space="preserve">Results</w:t>
      </w:r>
      <w:bookmarkEnd w:id="25"/>
    </w:p>
    <w:p>
      <w:pPr>
        <w:pStyle w:val="FirstParagraph"/>
      </w:pPr>
      <w:r>
        <w:t xml:space="preserve">The results in this section are the registered tests, exactly as the frozen analysis code wrote them. Where the code prints a verdict that the registered text does not test, the text says so.</w:t>
      </w:r>
    </w:p>
    <w:p>
      <w:pPr>
        <w:pStyle w:val="BodyText"/>
      </w:pPr>
      <w: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w:t>
      </w:r>
      <w:r>
        <w:t xml:space="preserve"> </w:t>
      </w:r>
      <w:r>
        <w:t xml:space="preserve">“neither”</w:t>
      </w:r>
      <w:r>
        <w:t xml:space="preserve">, with agreement 0.8889, and A2 to A5 fail. The camera-on condition is reported and not tested. Cohen’s κ is negative for A5 under absolute moves (−0.4125), under primitive actions (−0.3374) and on Procgen (−0.7843), and for A4 under absolute moves (−0.0435).</w:t>
      </w:r>
    </w:p>
    <w:p>
      <w:pPr>
        <w:pStyle w:val="CaptionedFigure"/>
      </w:pPr>
      <w:r>
        <w:drawing>
          <wp:inline>
            <wp:extent cx="5334000" cy="3765958"/>
            <wp:effectExtent b="0" l="0" r="0" t="0"/>
            <wp:docPr descr="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 title="" id="27" name="Picture"/>
            <a:graphic>
              <a:graphicData uri="http://schemas.openxmlformats.org/drawingml/2006/picture">
                <pic:pic>
                  <pic:nvPicPr>
                    <pic:cNvPr descr="fig1.png" id="28" name="Picture"/>
                    <pic:cNvPicPr>
                      <a:picLocks noChangeArrowheads="1" noChangeAspect="1"/>
                    </pic:cNvPicPr>
                  </pic:nvPicPr>
                  <pic:blipFill>
                    <a:blip r:embed="rId26"/>
                    <a:stretch>
                      <a:fillRect/>
                    </a:stretch>
                  </pic:blipFill>
                  <pic:spPr bwMode="auto">
                    <a:xfrm>
                      <a:off x="0" y="0"/>
                      <a:ext cx="5334000" cy="3765958"/>
                    </a:xfrm>
                    <a:prstGeom prst="rect">
                      <a:avLst/>
                    </a:prstGeom>
                    <a:noFill/>
                    <a:ln w="9525">
                      <a:noFill/>
                      <a:headEnd/>
                      <a:tailEnd/>
                    </a:ln>
                  </pic:spPr>
                </pic:pic>
              </a:graphicData>
            </a:graphic>
          </wp:inline>
        </w:drawing>
      </w:r>
    </w:p>
    <w:p>
      <w:pPr>
        <w:pStyle w:val="ImageCaption"/>
      </w:pPr>
      <w:r>
        <w:t xml:space="preserve">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w:t>
      </w:r>
    </w:p>
    <w:p>
      <w:pPr>
        <w:pStyle w:val="FirstParagraph"/>
      </w:pPr>
      <w:r>
        <w:rPr>
          <w:b/>
          <w:bCs/>
        </w:rPr>
        <w:t xml:space="preserve">Table 1.</w:t>
      </w:r>
      <w:r>
        <w:t xml:space="preserve"> </w:t>
      </w:r>
      <w:r>
        <w:t xml:space="preserve">Test V1, copied verbatim from docs/tables/v1.md (commit bb0f1a1), as written by the frozen analysis code at prereg-v1.1. Agreement is the share of games where the census verdict equals the truth, and κ is given only where both truth values have at least 3 games. The code’s identifiers are kept. On MiniGrid/BabyAI,</w:t>
      </w:r>
      <w:r>
        <w:t xml:space="preserve"> </w:t>
      </w:r>
      <w:r>
        <w:t xml:space="preserve">“macro”</w:t>
      </w:r>
      <w:r>
        <w:t xml:space="preserve"> </w:t>
      </w:r>
      <w:r>
        <w:t xml:space="preserve">is absolute moves and</w:t>
      </w:r>
      <w:r>
        <w:t xml:space="preserve"> </w:t>
      </w:r>
      <w:r>
        <w:t xml:space="preserve">“raw”</w:t>
      </w:r>
      <w:r>
        <w:t xml:space="preserve"> </w:t>
      </w:r>
      <w:r>
        <w:t xml:space="preserve">primitive actions. On Procgen,</w:t>
      </w:r>
      <w:r>
        <w:t xml:space="preserve"> </w:t>
      </w:r>
      <w:r>
        <w:t xml:space="preserve">“center_off”</w:t>
      </w:r>
      <w:r>
        <w:t xml:space="preserve"> </w:t>
      </w:r>
      <w:r>
        <w:t xml:space="preserve">is the whole-level view and</w:t>
      </w:r>
      <w:r>
        <w:t xml:space="preserve"> </w:t>
      </w:r>
      <w:r>
        <w:t xml:space="preserve">“center_on”</w:t>
      </w:r>
      <w:r>
        <w:t xml:space="preserve"> </w:t>
      </w:r>
      <w:r>
        <w:t xml:space="preserve">the view centered on the agent,</w:t>
      </w:r>
      <w:r>
        <w:t xml:space="preserve"> </w:t>
      </w:r>
      <w:r>
        <w:t xml:space="preserve">“in_range”</w:t>
      </w:r>
      <w:r>
        <w:t xml:space="preserve"> </w:t>
      </w:r>
      <w:r>
        <w:t xml:space="preserve">is the nine games of the operating range, and</w:t>
      </w:r>
      <w:r>
        <w:t xml:space="preserve"> </w:t>
      </w:r>
      <w:r>
        <w:t xml:space="preserve">“camera_distinct”</w:t>
      </w:r>
      <w:r>
        <w:t xml:space="preserve"> </w:t>
      </w:r>
      <w:r>
        <w:t xml:space="preserve">the five games where the two views differ.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assumption</w:t>
            </w:r>
          </w:p>
        </w:tc>
        <w:tc>
          <w:tcPr/>
          <w:p>
            <w:pPr>
              <w:pStyle w:val="Compact"/>
            </w:pPr>
            <w:r>
              <w:t xml:space="preserve">n</w:t>
            </w:r>
          </w:p>
        </w:tc>
        <w:tc>
          <w:tcPr/>
          <w:p>
            <w:pPr>
              <w:pStyle w:val="Compact"/>
            </w:pPr>
            <w:r>
              <w:t xml:space="preserve">truth_holds</w:t>
            </w:r>
          </w:p>
        </w:tc>
        <w:tc>
          <w:tcPr/>
          <w:p>
            <w:pPr>
              <w:pStyle w:val="Compact"/>
            </w:pPr>
            <w:r>
              <w:t xml:space="preserve">agreement</w:t>
            </w:r>
          </w:p>
        </w:tc>
        <w:tc>
          <w:tcPr/>
          <w:p>
            <w:pPr>
              <w:pStyle w:val="Compact"/>
            </w:pPr>
            <w:r>
              <w:t xml:space="preserve">kappa</w:t>
            </w:r>
          </w:p>
        </w:tc>
        <w:tc>
          <w:tcPr/>
          <w:p>
            <w:pPr>
              <w:pStyle w:val="Compact"/>
            </w:pPr>
            <w:r>
              <w:t xml:space="preserve">verdict</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161</w:t>
            </w:r>
          </w:p>
        </w:tc>
        <w:tc>
          <w:tcPr/>
          <w:p>
            <w:pPr>
              <w:pStyle w:val="Compact"/>
            </w:pPr>
            <w:r>
              <w:t xml:space="preserve">0.4286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0.3354</w:t>
            </w:r>
          </w:p>
        </w:tc>
        <w:tc>
          <w:tcPr/>
          <w:p>
            <w:pPr>
              <w:pStyle w:val="Compact"/>
            </w:pPr>
            <w:r>
              <w:t xml:space="preserve">-0.0435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0.2671</w:t>
            </w:r>
          </w:p>
        </w:tc>
        <w:tc>
          <w:tcPr/>
          <w:p>
            <w:pPr>
              <w:pStyle w:val="Compact"/>
            </w:pPr>
            <w:r>
              <w:t xml:space="preserve">-0.4125</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0.9379</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0.4596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0</w:t>
            </w:r>
          </w:p>
        </w:tc>
        <w:tc>
          <w:tcPr/>
          <w:p>
            <w:pPr>
              <w:pStyle w:val="Compact"/>
            </w:pPr>
            <w:r>
              <w:t xml:space="preserve">0.5466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0.0621</w:t>
            </w:r>
          </w:p>
        </w:tc>
        <w:tc>
          <w:tcPr/>
          <w:p>
            <w:pPr>
              <w:pStyle w:val="Compact"/>
            </w:pPr>
            <w:r>
              <w:t xml:space="preserve">0.0021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0.0994</w:t>
            </w:r>
          </w:p>
        </w:tc>
        <w:tc>
          <w:tcPr/>
          <w:p>
            <w:pPr>
              <w:pStyle w:val="Compact"/>
            </w:pPr>
            <w:r>
              <w:t xml:space="preserve">-0.3374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A1</w:t>
            </w:r>
          </w:p>
        </w:tc>
        <w:tc>
          <w:tcPr/>
          <w:p>
            <w:pPr>
              <w:pStyle w:val="Compact"/>
            </w:pPr>
            <w:r>
              <w:t xml:space="preserve">14</w:t>
            </w:r>
          </w:p>
        </w:tc>
        <w:tc>
          <w:tcPr/>
          <w:p>
            <w:pPr>
              <w:pStyle w:val="Compact"/>
            </w:pPr>
            <w:r>
              <w:t xml:space="preserve">14</w:t>
            </w:r>
          </w:p>
        </w:tc>
        <w:tc>
          <w:tcPr/>
          <w:p>
            <w:pPr>
              <w:pStyle w:val="Compact"/>
            </w:pPr>
            <w:r>
              <w:t xml:space="preserve">0.9286</w:t>
            </w:r>
          </w:p>
        </w:tc>
        <w:tc>
          <w:tcPr/>
          <w:p>
            <w:pPr>
              <w:pStyle w:val="Compact"/>
            </w:pPr>
          </w:p>
        </w:tc>
        <w:tc>
          <w:tcPr/>
          <w:p>
            <w:pPr>
              <w:pStyle w:val="Compact"/>
            </w:pPr>
            <w:r>
              <w:t xml:space="preserve">PASS</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A2</w:t>
            </w:r>
          </w:p>
        </w:tc>
        <w:tc>
          <w:tcPr/>
          <w:p>
            <w:pPr>
              <w:pStyle w:val="Compact"/>
            </w:pPr>
            <w:r>
              <w:t xml:space="preserve">14</w:t>
            </w:r>
          </w:p>
        </w:tc>
        <w:tc>
          <w:tcPr/>
          <w:p>
            <w:pPr>
              <w:pStyle w:val="Compact"/>
            </w:pPr>
            <w:r>
              <w:t xml:space="preserve">6</w:t>
            </w:r>
          </w:p>
        </w:tc>
        <w:tc>
          <w:tcPr/>
          <w:p>
            <w:pPr>
              <w:pStyle w:val="Compact"/>
            </w:pPr>
            <w:r>
              <w:t xml:space="preserve">0.5714</w:t>
            </w:r>
          </w:p>
        </w:tc>
        <w:tc>
          <w:tcPr/>
          <w:p>
            <w:pPr>
              <w:pStyle w:val="Compact"/>
            </w:pPr>
            <w:r>
              <w:t xml:space="preserve">0.2222</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A3</w:t>
            </w:r>
          </w:p>
        </w:tc>
        <w:tc>
          <w:tcPr/>
          <w:p>
            <w:pPr>
              <w:pStyle w:val="Compact"/>
            </w:pPr>
            <w:r>
              <w:t xml:space="preserve">14</w:t>
            </w:r>
          </w:p>
        </w:tc>
        <w:tc>
          <w:tcPr/>
          <w:p>
            <w:pPr>
              <w:pStyle w:val="Compact"/>
            </w:pPr>
            <w:r>
              <w:t xml:space="preserve">2</w:t>
            </w:r>
          </w:p>
        </w:tc>
        <w:tc>
          <w:tcPr/>
          <w:p>
            <w:pPr>
              <w:pStyle w:val="Compact"/>
            </w:pPr>
            <w:r>
              <w:t xml:space="preserve">0.5714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A4</w:t>
            </w:r>
          </w:p>
        </w:tc>
        <w:tc>
          <w:tcPr/>
          <w:p>
            <w:pPr>
              <w:pStyle w:val="Compact"/>
            </w:pPr>
            <w:r>
              <w:t xml:space="preserve">14</w:t>
            </w:r>
          </w:p>
        </w:tc>
        <w:tc>
          <w:tcPr/>
          <w:p>
            <w:pPr>
              <w:pStyle w:val="Compact"/>
            </w:pPr>
            <w:r>
              <w:t xml:space="preserve">13</w:t>
            </w:r>
          </w:p>
        </w:tc>
        <w:tc>
          <w:tcPr/>
          <w:p>
            <w:pPr>
              <w:pStyle w:val="Compact"/>
            </w:pPr>
            <w:r>
              <w:t xml:space="preserve">0.0714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A5</w:t>
            </w:r>
          </w:p>
        </w:tc>
        <w:tc>
          <w:tcPr/>
          <w:p>
            <w:pPr>
              <w:pStyle w:val="Compact"/>
            </w:pPr>
            <w:r>
              <w:t xml:space="preserve">14</w:t>
            </w:r>
          </w:p>
        </w:tc>
        <w:tc>
          <w:tcPr/>
          <w:p>
            <w:pPr>
              <w:pStyle w:val="Compact"/>
            </w:pPr>
            <w:r>
              <w:t xml:space="preserve">6</w:t>
            </w:r>
          </w:p>
        </w:tc>
        <w:tc>
          <w:tcPr/>
          <w:p>
            <w:pPr>
              <w:pStyle w:val="Compact"/>
            </w:pPr>
            <w:r>
              <w:t xml:space="preserve">0.0714</w:t>
            </w:r>
          </w:p>
        </w:tc>
        <w:tc>
          <w:tcPr/>
          <w:p>
            <w:pPr>
              <w:pStyle w:val="Compact"/>
            </w:pPr>
            <w:r>
              <w:t xml:space="preserve">-0.7843</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A1</w:t>
            </w:r>
          </w:p>
        </w:tc>
        <w:tc>
          <w:tcPr/>
          <w:p>
            <w:pPr>
              <w:pStyle w:val="Compact"/>
            </w:pPr>
            <w:r>
              <w:t xml:space="preserve">9</w:t>
            </w:r>
          </w:p>
        </w:tc>
        <w:tc>
          <w:tcPr/>
          <w:p>
            <w:pPr>
              <w:pStyle w:val="Compact"/>
            </w:pPr>
            <w:r>
              <w:t xml:space="preserve">9</w:t>
            </w:r>
          </w:p>
        </w:tc>
        <w:tc>
          <w:tcPr/>
          <w:p>
            <w:pPr>
              <w:pStyle w:val="Compact"/>
            </w:pPr>
            <w:r>
              <w:t xml:space="preserve">0.8889</w:t>
            </w:r>
          </w:p>
        </w:tc>
        <w:tc>
          <w:tcPr/>
          <w:p>
            <w:pPr>
              <w:pStyle w:val="Compact"/>
            </w:pP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A2</w:t>
            </w:r>
          </w:p>
        </w:tc>
        <w:tc>
          <w:tcPr/>
          <w:p>
            <w:pPr>
              <w:pStyle w:val="Compact"/>
            </w:pPr>
            <w:r>
              <w:t xml:space="preserve">9</w:t>
            </w:r>
          </w:p>
        </w:tc>
        <w:tc>
          <w:tcPr/>
          <w:p>
            <w:pPr>
              <w:pStyle w:val="Compact"/>
            </w:pPr>
            <w:r>
              <w:t xml:space="preserve">4</w:t>
            </w:r>
          </w:p>
        </w:tc>
        <w:tc>
          <w:tcPr/>
          <w:p>
            <w:pPr>
              <w:pStyle w:val="Compact"/>
            </w:pPr>
            <w:r>
              <w:t xml:space="preserve">0.4444</w:t>
            </w:r>
          </w:p>
        </w:tc>
        <w:tc>
          <w:tcPr/>
          <w:p>
            <w:pPr>
              <w:pStyle w:val="Compact"/>
            </w:pPr>
            <w:r>
              <w:t xml:space="preserve">0.0000</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A3</w:t>
            </w:r>
          </w:p>
        </w:tc>
        <w:tc>
          <w:tcPr/>
          <w:p>
            <w:pPr>
              <w:pStyle w:val="Compact"/>
            </w:pPr>
            <w:r>
              <w:t xml:space="preserve">9</w:t>
            </w:r>
          </w:p>
        </w:tc>
        <w:tc>
          <w:tcPr/>
          <w:p>
            <w:pPr>
              <w:pStyle w:val="Compact"/>
            </w:pPr>
            <w:r>
              <w:t xml:space="preserve">2</w:t>
            </w:r>
          </w:p>
        </w:tc>
        <w:tc>
          <w:tcPr/>
          <w:p>
            <w:pPr>
              <w:pStyle w:val="Compact"/>
            </w:pPr>
            <w:r>
              <w:t xml:space="preserve">0.4444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A4</w:t>
            </w:r>
          </w:p>
        </w:tc>
        <w:tc>
          <w:tcPr/>
          <w:p>
            <w:pPr>
              <w:pStyle w:val="Compact"/>
            </w:pPr>
            <w:r>
              <w:t xml:space="preserve">9</w:t>
            </w:r>
          </w:p>
        </w:tc>
        <w:tc>
          <w:tcPr/>
          <w:p>
            <w:pPr>
              <w:pStyle w:val="Compact"/>
            </w:pPr>
            <w:r>
              <w:t xml:space="preserve">8</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A5</w:t>
            </w:r>
          </w:p>
        </w:tc>
        <w:tc>
          <w:tcPr/>
          <w:p>
            <w:pPr>
              <w:pStyle w:val="Compact"/>
            </w:pPr>
            <w:r>
              <w:t xml:space="preserve">9</w:t>
            </w:r>
          </w:p>
        </w:tc>
        <w:tc>
          <w:tcPr/>
          <w:p>
            <w:pPr>
              <w:pStyle w:val="Compact"/>
            </w:pPr>
            <w:r>
              <w:t xml:space="preserve">2</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A1</w:t>
            </w:r>
          </w:p>
        </w:tc>
        <w:tc>
          <w:tcPr/>
          <w:p>
            <w:pPr>
              <w:pStyle w:val="Compact"/>
            </w:pPr>
            <w:r>
              <w:t xml:space="preserve">5</w:t>
            </w:r>
          </w:p>
        </w:tc>
        <w:tc>
          <w:tcPr/>
          <w:p>
            <w:pPr>
              <w:pStyle w:val="Compact"/>
            </w:pPr>
            <w:r>
              <w:t xml:space="preserve">5</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A2</w:t>
            </w:r>
          </w:p>
        </w:tc>
        <w:tc>
          <w:tcPr/>
          <w:p>
            <w:pPr>
              <w:pStyle w:val="Compact"/>
            </w:pPr>
            <w:r>
              <w:t xml:space="preserve">5</w:t>
            </w:r>
          </w:p>
        </w:tc>
        <w:tc>
          <w:tcPr/>
          <w:p>
            <w:pPr>
              <w:pStyle w:val="Compact"/>
            </w:pPr>
            <w:r>
              <w:t xml:space="preserve">2</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A3</w:t>
            </w:r>
          </w:p>
        </w:tc>
        <w:tc>
          <w:tcPr/>
          <w:p>
            <w:pPr>
              <w:pStyle w:val="Compact"/>
            </w:pPr>
            <w:r>
              <w:t xml:space="preserve">5</w:t>
            </w:r>
          </w:p>
        </w:tc>
        <w:tc>
          <w:tcPr/>
          <w:p>
            <w:pPr>
              <w:pStyle w:val="Compact"/>
            </w:pPr>
            <w:r>
              <w:t xml:space="preserve">0</w:t>
            </w:r>
          </w:p>
        </w:tc>
        <w:tc>
          <w:tcPr/>
          <w:p>
            <w:pPr>
              <w:pStyle w:val="Compact"/>
            </w:pPr>
            <w:r>
              <w:t xml:space="preserve">0.6000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A4</w:t>
            </w:r>
          </w:p>
        </w:tc>
        <w:tc>
          <w:tcPr/>
          <w:p>
            <w:pPr>
              <w:pStyle w:val="Compact"/>
            </w:pPr>
            <w:r>
              <w:t xml:space="preserve">5</w:t>
            </w:r>
          </w:p>
        </w:tc>
        <w:tc>
          <w:tcPr/>
          <w:p>
            <w:pPr>
              <w:pStyle w:val="Compact"/>
            </w:pPr>
            <w:r>
              <w:t xml:space="preserve">5</w:t>
            </w:r>
          </w:p>
        </w:tc>
        <w:tc>
          <w:tcPr/>
          <w:p>
            <w:pPr>
              <w:pStyle w:val="Compact"/>
            </w:pPr>
            <w:r>
              <w:t xml:space="preserve">0.0000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A5</w:t>
            </w:r>
          </w:p>
        </w:tc>
        <w:tc>
          <w:tcPr/>
          <w:p>
            <w:pPr>
              <w:pStyle w:val="Compact"/>
            </w:pPr>
            <w:r>
              <w:t xml:space="preserve">5</w:t>
            </w:r>
          </w:p>
        </w:tc>
        <w:tc>
          <w:tcPr/>
          <w:p>
            <w:pPr>
              <w:pStyle w:val="Compact"/>
            </w:pPr>
            <w:r>
              <w:t xml:space="preserve">4</w:t>
            </w:r>
          </w:p>
        </w:tc>
        <w:tc>
          <w:tcPr/>
          <w:p>
            <w:pPr>
              <w:pStyle w:val="Compact"/>
            </w:pPr>
            <w:r>
              <w:t xml:space="preserve">0.0000</w:t>
            </w:r>
          </w:p>
        </w:tc>
        <w:tc>
          <w:tcPr/>
          <w:p>
            <w:pPr>
              <w:pStyle w:val="Compact"/>
            </w:pPr>
          </w:p>
        </w:tc>
        <w:tc>
          <w:tcPr/>
          <w:p>
            <w:pPr>
              <w:pStyle w:val="Compact"/>
            </w:pPr>
            <w:r>
              <w:t xml:space="preserve">reported, not tested</w:t>
            </w:r>
          </w:p>
        </w:tc>
      </w:tr>
    </w:tbl>
    <w:p>
      <w:pPr>
        <w:pStyle w:val="FirstParagraph"/>
      </w:pPr>
      <w:r>
        <w:t xml:space="preserve">Figure 2 and Table 2 give V2. No agent reached PASS on any suite or subset. On MiniGrid/BabyAI under absolute moves, the primary line of R is void, because R completed the first level on 101 of 112 games, a share of 0.9018, above the registered 0.90. I1 is</w:t>
      </w:r>
      <w:r>
        <w:t xml:space="preserve"> </w:t>
      </w:r>
      <w:r>
        <w:t xml:space="preserve">“neither”</w:t>
      </w:r>
      <w:r>
        <w:t xml:space="preserve"> </w:t>
      </w:r>
      <w:r>
        <w:t xml:space="preserve">there, with AUROC 0.7187, and so is N, the instrument check. On the primitive-action lines, which the registered text only reports, the frozen code prints FAIL for R and I1, with AUROC 0.5224 and 0.5370. On Procgen over all 14 games I1 fails, with AUROC 0.6458, and R is</w:t>
      </w:r>
      <w:r>
        <w:t xml:space="preserve"> </w:t>
      </w:r>
      <w:r>
        <w:t xml:space="preserve">“neither”</w:t>
      </w:r>
      <w:r>
        <w:t xml:space="preserve">, with 0.7222. On the nine in-range games every agent is</w:t>
      </w:r>
      <w:r>
        <w:t xml:space="preserve"> </w:t>
      </w:r>
      <w:r>
        <w:t xml:space="preserve">“neither”</w:t>
      </w:r>
      <w:r>
        <w:t xml:space="preserve">. The intervals on Procgen are wide: over 14 games, let alone nine, the lower end of the 95% interval does not reach 0.60 for any agent, which the protocol anticipated before any run. The interval is not the only obstacle, though. Every Procgen line also has a balanced accuracy of 0.5000, below the registered 0.80, so no Procgen line misses a pass on the interval alone.</w:t>
      </w:r>
    </w:p>
    <w:p>
      <w:pPr>
        <w:pStyle w:val="CaptionedFigure"/>
      </w:pPr>
      <w:r>
        <w:drawing>
          <wp:inline>
            <wp:extent cx="5334000" cy="5490804"/>
            <wp:effectExtent b="0" l="0" r="0" t="0"/>
            <wp:docPr descr="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e Deviations). The primitive-action lines are reported by the registered text, so the “FAIL” printed on their primary lines enters no outcome clause. Drawn from docs/tables/v2.json by scripts/manuscript_figures.py. Registered test." title="" id="30" name="Picture"/>
            <a:graphic>
              <a:graphicData uri="http://schemas.openxmlformats.org/drawingml/2006/picture">
                <pic:pic>
                  <pic:nvPicPr>
                    <pic:cNvPr descr="fig2.png" id="31" name="Picture"/>
                    <pic:cNvPicPr>
                      <a:picLocks noChangeArrowheads="1" noChangeAspect="1"/>
                    </pic:cNvPicPr>
                  </pic:nvPicPr>
                  <pic:blipFill>
                    <a:blip r:embed="rId29"/>
                    <a:stretch>
                      <a:fillRect/>
                    </a:stretch>
                  </pic:blipFill>
                  <pic:spPr bwMode="auto">
                    <a:xfrm>
                      <a:off x="0" y="0"/>
                      <a:ext cx="5334000" cy="5490804"/>
                    </a:xfrm>
                    <a:prstGeom prst="rect">
                      <a:avLst/>
                    </a:prstGeom>
                    <a:noFill/>
                    <a:ln w="9525">
                      <a:noFill/>
                      <a:headEnd/>
                      <a:tailEnd/>
                    </a:ln>
                  </pic:spPr>
                </pic:pic>
              </a:graphicData>
            </a:graphic>
          </wp:inline>
        </w:drawing>
      </w:r>
    </w:p>
    <w:p>
      <w:pPr>
        <w:pStyle w:val="ImageCaption"/>
      </w:pPr>
      <w: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w:t>
      </w:r>
      <w:r>
        <w:t xml:space="preserve"> </w:t>
      </w:r>
      <w:r>
        <w:t xml:space="preserve">“FAIL”</w:t>
      </w:r>
      <w:r>
        <w:t xml:space="preserve"> </w:t>
      </w:r>
      <w:r>
        <w:t xml:space="preserve">printed on them has no registered meaning (see Deviations). The primitive-action lines are reported by the registered text, so the</w:t>
      </w:r>
      <w:r>
        <w:t xml:space="preserve"> </w:t>
      </w:r>
      <w:r>
        <w:t xml:space="preserve">“FAIL”</w:t>
      </w:r>
      <w:r>
        <w:t xml:space="preserve"> </w:t>
      </w:r>
      <w:r>
        <w:t xml:space="preserve">printed on their primary lines enters no outcome clause. Drawn from docs/tables/v2.json by scripts/manuscript_figures.py. Registered test.</w:t>
      </w:r>
    </w:p>
    <w:p>
      <w:pPr>
        <w:pStyle w:val="FirstParagraph"/>
      </w:pPr>
      <w:r>
        <w:rPr>
          <w:b/>
          <w:bCs/>
        </w:rPr>
        <w:t xml:space="preserve">Table 2.</w:t>
      </w:r>
      <w:r>
        <w:t xml:space="preserve"> </w:t>
      </w:r>
      <w:r>
        <w:t xml:space="preserve">Test V2, copied verbatim from docs/tables/v2.md (commit bb0f1a1), as written by the frozen analysis code at prereg-v1.1, in two parts with the same rows so that it fits the page: Table 2a gives each line and its verdict, Table 2b its statistics. The agents are R, my explorer, N, my planner (instrument check), and I1, the explorer of Rudakov et al. (2025). Lines marked</w:t>
      </w:r>
      <w:r>
        <w:t xml:space="preserve"> </w:t>
      </w:r>
      <w:r>
        <w:t xml:space="preserve">“primary”</w:t>
      </w:r>
      <w:r>
        <w:t xml:space="preserve"> </w:t>
      </w:r>
      <w:r>
        <w:t xml:space="preserve">exclude the environments of Appendix B,</w:t>
      </w:r>
      <w:r>
        <w:t xml:space="preserve"> </w:t>
      </w:r>
      <w:r>
        <w:t xml:space="preserve">“primary, D9b included”</w:t>
      </w:r>
      <w:r>
        <w:t xml:space="preserve"> </w:t>
      </w:r>
      <w:r>
        <w:t xml:space="preserve">puts back the exclusions specific to I1, and</w:t>
      </w:r>
      <w:r>
        <w:t xml:space="preserve"> </w:t>
      </w:r>
      <w:r>
        <w:t xml:space="preserve">“all games”</w:t>
      </w:r>
      <w:r>
        <w:t xml:space="preserve"> </w:t>
      </w:r>
      <w:r>
        <w:t xml:space="preserve">includes every environment. auroc_B is the AUROC of the nuisance baseline, ci_low and ci_high the 95% bootstrap interval, and balanced_acc the balanced accuracy of the conjunctive prediction. Condition identifiers are as in Table 1;</w:t>
      </w:r>
      <w:r>
        <w:t xml:space="preserve"> </w:t>
      </w:r>
      <w:r>
        <w:t xml:space="preserve">“native”</w:t>
      </w:r>
      <w:r>
        <w:t xml:space="preserve"> </w:t>
      </w:r>
      <w:r>
        <w:t xml:space="preserve">is ARC-AGI-3.</w:t>
      </w:r>
    </w:p>
    <w:p>
      <w:pPr>
        <w:pStyle w:val="BodyText"/>
      </w:pPr>
      <w:r>
        <w:rPr>
          <w:b/>
          <w:bCs/>
        </w:rPr>
        <w:t xml:space="preserve">Table 2a.</w:t>
      </w:r>
      <w:r>
        <w:t xml:space="preserve"> </w:t>
      </w:r>
      <w:r>
        <w:t xml:space="preserve">The V2 lines and their verdicts.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role</w:t>
            </w:r>
          </w:p>
        </w:tc>
        <w:tc>
          <w:tcPr/>
          <w:p>
            <w:pPr>
              <w:pStyle w:val="Compact"/>
            </w:pPr>
            <w:r>
              <w:t xml:space="preserve">n</w:t>
            </w:r>
          </w:p>
        </w:tc>
        <w:tc>
          <w:tcPr/>
          <w:p>
            <w:pPr>
              <w:pStyle w:val="Compact"/>
            </w:pPr>
            <w:r>
              <w:t xml:space="preserve">positives</w:t>
            </w:r>
          </w:p>
        </w:tc>
        <w:tc>
          <w:tcPr/>
          <w:p>
            <w:pPr>
              <w:pStyle w:val="Compact"/>
            </w:pPr>
            <w:r>
              <w:t xml:space="preserve">verdict</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reported</w:t>
            </w:r>
          </w:p>
        </w:tc>
        <w:tc>
          <w:tcPr/>
          <w:p>
            <w:pPr>
              <w:pStyle w:val="Compact"/>
            </w:pPr>
            <w:r>
              <w:t xml:space="preserve">25</w:t>
            </w:r>
          </w:p>
        </w:tc>
        <w:tc>
          <w:tcPr/>
          <w:p>
            <w:pPr>
              <w:pStyle w:val="Compact"/>
            </w:pPr>
            <w:r>
              <w:t xml:space="preserve">14</w:t>
            </w:r>
          </w:p>
        </w:tc>
        <w:tc>
          <w:tcPr/>
          <w:p>
            <w:pPr>
              <w:pStyle w:val="Compact"/>
            </w:pPr>
            <w:r>
              <w:t xml:space="preserve">FAIL</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reported</w:t>
            </w:r>
          </w:p>
        </w:tc>
        <w:tc>
          <w:tcPr/>
          <w:p>
            <w:pPr>
              <w:pStyle w:val="Compact"/>
            </w:pPr>
            <w:r>
              <w:t xml:space="preserve">25</w:t>
            </w:r>
          </w:p>
        </w:tc>
        <w:tc>
          <w:tcPr/>
          <w:p>
            <w:pPr>
              <w:pStyle w:val="Compact"/>
            </w:pPr>
            <w:r>
              <w:t xml:space="preserve">15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83</w:t>
            </w:r>
          </w:p>
        </w:tc>
        <w:tc>
          <w:tcPr/>
          <w:p>
            <w:pPr>
              <w:pStyle w:val="Compact"/>
            </w:pPr>
            <w:r>
              <w:t xml:space="preserve">61</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112</w:t>
            </w:r>
          </w:p>
        </w:tc>
        <w:tc>
          <w:tcPr/>
          <w:p>
            <w:pPr>
              <w:pStyle w:val="Compact"/>
            </w:pPr>
            <w:r>
              <w:t xml:space="preserve">100</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112</w:t>
            </w:r>
          </w:p>
        </w:tc>
        <w:tc>
          <w:tcPr/>
          <w:p>
            <w:pPr>
              <w:pStyle w:val="Compact"/>
            </w:pPr>
            <w:r>
              <w:t xml:space="preserve">101</w:t>
            </w:r>
          </w:p>
        </w:tc>
        <w:tc>
          <w:tcPr/>
          <w:p>
            <w:pPr>
              <w:pStyle w:val="Compact"/>
            </w:pPr>
            <w:r>
              <w:t xml:space="preserve">VOID</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112</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100</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101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98</w:t>
            </w:r>
          </w:p>
        </w:tc>
        <w:tc>
          <w:tcPr/>
          <w:p>
            <w:pPr>
              <w:pStyle w:val="Compact"/>
            </w:pPr>
            <w:r>
              <w:t xml:space="preserve">71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155</w:t>
            </w:r>
          </w:p>
        </w:tc>
        <w:tc>
          <w:tcPr/>
          <w:p>
            <w:pPr>
              <w:pStyle w:val="Compact"/>
            </w:pPr>
            <w:r>
              <w:t xml:space="preserve">130</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155</w:t>
            </w:r>
          </w:p>
        </w:tc>
        <w:tc>
          <w:tcPr/>
          <w:p>
            <w:pPr>
              <w:pStyle w:val="Compact"/>
            </w:pPr>
            <w:r>
              <w:t xml:space="preserve">126</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155</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130</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126</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evidence</w:t>
            </w:r>
          </w:p>
        </w:tc>
        <w:tc>
          <w:tcPr/>
          <w:p>
            <w:pPr>
              <w:pStyle w:val="Compact"/>
            </w:pPr>
            <w:r>
              <w:t xml:space="preserve">14</w:t>
            </w:r>
          </w:p>
        </w:tc>
        <w:tc>
          <w:tcPr/>
          <w:p>
            <w:pPr>
              <w:pStyle w:val="Compact"/>
            </w:pPr>
            <w:r>
              <w:t xml:space="preserve">6</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instrument check</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evidence</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evidence</w:t>
            </w:r>
          </w:p>
        </w:tc>
        <w:tc>
          <w:tcPr/>
          <w:p>
            <w:pPr>
              <w:pStyle w:val="Compact"/>
            </w:pPr>
            <w:r>
              <w:t xml:space="preserve">9</w:t>
            </w:r>
          </w:p>
        </w:tc>
        <w:tc>
          <w:tcPr/>
          <w:p>
            <w:pPr>
              <w:pStyle w:val="Compact"/>
            </w:pPr>
            <w:r>
              <w:t xml:space="preserve">4</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instrument check</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evidence</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evidence</w:t>
            </w:r>
          </w:p>
        </w:tc>
        <w:tc>
          <w:tcPr/>
          <w:p>
            <w:pPr>
              <w:pStyle w:val="Compact"/>
            </w:pPr>
            <w:r>
              <w:t xml:space="preserve">5</w:t>
            </w:r>
          </w:p>
        </w:tc>
        <w:tc>
          <w:tcPr/>
          <w:p>
            <w:pPr>
              <w:pStyle w:val="Compact"/>
            </w:pPr>
            <w:r>
              <w:t xml:space="preserve">3</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instrument check</w:t>
            </w:r>
          </w:p>
        </w:tc>
        <w:tc>
          <w:tcPr/>
          <w:p>
            <w:pPr>
              <w:pStyle w:val="Compact"/>
            </w:pPr>
            <w:r>
              <w:t xml:space="preserve">5</w:t>
            </w:r>
          </w:p>
        </w:tc>
        <w:tc>
          <w:tcPr/>
          <w:p>
            <w:pPr>
              <w:pStyle w:val="Compact"/>
            </w:pPr>
            <w:r>
              <w:t xml:space="preserve">4</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evidence</w:t>
            </w:r>
          </w:p>
        </w:tc>
        <w:tc>
          <w:tcPr/>
          <w:p>
            <w:pPr>
              <w:pStyle w:val="Compact"/>
            </w:pPr>
            <w:r>
              <w:t xml:space="preserve">5</w:t>
            </w:r>
          </w:p>
        </w:tc>
        <w:tc>
          <w:tcPr/>
          <w:p>
            <w:pPr>
              <w:pStyle w:val="Compact"/>
            </w:pPr>
            <w:r>
              <w:t xml:space="preserve">4</w:t>
            </w:r>
          </w:p>
        </w:tc>
        <w:tc>
          <w:tcPr/>
          <w:p>
            <w:pPr>
              <w:pStyle w:val="Compact"/>
            </w:pPr>
            <w:r>
              <w:t xml:space="preserve">reported, not tested</w:t>
            </w:r>
          </w:p>
        </w:tc>
      </w:tr>
    </w:tbl>
    <w:p>
      <w:pPr>
        <w:pStyle w:val="FirstParagraph"/>
      </w:pPr>
      <w:r>
        <w:rPr>
          <w:b/>
          <w:bCs/>
        </w:rPr>
        <w:t xml:space="preserve">Table 2b.</w:t>
      </w:r>
      <w:r>
        <w:t xml:space="preserve"> </w:t>
      </w:r>
      <w:r>
        <w:t xml:space="preserve">The statistics of the same lines, in the same order.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auroc</w:t>
            </w:r>
          </w:p>
        </w:tc>
        <w:tc>
          <w:tcPr/>
          <w:p>
            <w:pPr>
              <w:pStyle w:val="Compact"/>
            </w:pPr>
            <w:r>
              <w:t xml:space="preserve">ci_low</w:t>
            </w:r>
          </w:p>
        </w:tc>
        <w:tc>
          <w:tcPr/>
          <w:p>
            <w:pPr>
              <w:pStyle w:val="Compact"/>
            </w:pPr>
            <w:r>
              <w:t xml:space="preserve">ci_high</w:t>
            </w:r>
          </w:p>
        </w:tc>
        <w:tc>
          <w:tcPr/>
          <w:p>
            <w:pPr>
              <w:pStyle w:val="Compact"/>
            </w:pPr>
            <w:r>
              <w:t xml:space="preserve">balanced_acc</w:t>
            </w:r>
          </w:p>
        </w:tc>
        <w:tc>
          <w:tcPr/>
          <w:p>
            <w:pPr>
              <w:pStyle w:val="Compact"/>
            </w:pPr>
            <w:r>
              <w:t xml:space="preserve">auroc_B</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0.4188</w:t>
            </w:r>
          </w:p>
        </w:tc>
        <w:tc>
          <w:tcPr/>
          <w:p>
            <w:pPr>
              <w:pStyle w:val="Compact"/>
            </w:pPr>
            <w:r>
              <w:t xml:space="preserve">0.1978</w:t>
            </w:r>
          </w:p>
        </w:tc>
        <w:tc>
          <w:tcPr/>
          <w:p>
            <w:pPr>
              <w:pStyle w:val="Compact"/>
            </w:pPr>
            <w:r>
              <w:t xml:space="preserve">0.6379</w:t>
            </w:r>
          </w:p>
        </w:tc>
        <w:tc>
          <w:tcPr/>
          <w:p>
            <w:pPr>
              <w:pStyle w:val="Compact"/>
            </w:pPr>
            <w:r>
              <w:t xml:space="preserve">0.5357</w:t>
            </w:r>
          </w:p>
        </w:tc>
        <w:tc>
          <w:tcPr/>
          <w:p>
            <w:pPr>
              <w:pStyle w:val="Compact"/>
            </w:pPr>
            <w:r>
              <w:t xml:space="preserve">0.5000</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0.4100</w:t>
            </w:r>
          </w:p>
        </w:tc>
        <w:tc>
          <w:tcPr/>
          <w:p>
            <w:pPr>
              <w:pStyle w:val="Compact"/>
            </w:pPr>
            <w:r>
              <w:t xml:space="preserve">0.1850</w:t>
            </w:r>
          </w:p>
        </w:tc>
        <w:tc>
          <w:tcPr/>
          <w:p>
            <w:pPr>
              <w:pStyle w:val="Compact"/>
            </w:pPr>
            <w:r>
              <w:t xml:space="preserve">0.6354</w:t>
            </w:r>
          </w:p>
        </w:tc>
        <w:tc>
          <w:tcPr/>
          <w:p>
            <w:pPr>
              <w:pStyle w:val="Compact"/>
            </w:pPr>
            <w:r>
              <w:t xml:space="preserve">0.5333</w:t>
            </w:r>
          </w:p>
        </w:tc>
        <w:tc>
          <w:tcPr/>
          <w:p>
            <w:pPr>
              <w:pStyle w:val="Compact"/>
            </w:pPr>
            <w:r>
              <w:t xml:space="preserve">0.5000</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0.7187</w:t>
            </w:r>
          </w:p>
        </w:tc>
        <w:tc>
          <w:tcPr/>
          <w:p>
            <w:pPr>
              <w:pStyle w:val="Compact"/>
            </w:pPr>
            <w:r>
              <w:t xml:space="preserve">0.5902</w:t>
            </w:r>
          </w:p>
        </w:tc>
        <w:tc>
          <w:tcPr/>
          <w:p>
            <w:pPr>
              <w:pStyle w:val="Compact"/>
            </w:pPr>
            <w:r>
              <w:t xml:space="preserve">0.8298</w:t>
            </w:r>
          </w:p>
        </w:tc>
        <w:tc>
          <w:tcPr/>
          <w:p>
            <w:pPr>
              <w:pStyle w:val="Compact"/>
            </w:pPr>
            <w:r>
              <w:t xml:space="preserve">0.5838</w:t>
            </w:r>
          </w:p>
        </w:tc>
        <w:tc>
          <w:tcPr/>
          <w:p>
            <w:pPr>
              <w:pStyle w:val="Compact"/>
            </w:pPr>
            <w:r>
              <w:t xml:space="preserve">0.8413</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0.6613</w:t>
            </w:r>
          </w:p>
        </w:tc>
        <w:tc>
          <w:tcPr/>
          <w:p>
            <w:pPr>
              <w:pStyle w:val="Compact"/>
            </w:pPr>
            <w:r>
              <w:t xml:space="preserve">0.5049</w:t>
            </w:r>
          </w:p>
        </w:tc>
        <w:tc>
          <w:tcPr/>
          <w:p>
            <w:pPr>
              <w:pStyle w:val="Compact"/>
            </w:pPr>
            <w:r>
              <w:t xml:space="preserve">0.7941</w:t>
            </w:r>
          </w:p>
        </w:tc>
        <w:tc>
          <w:tcPr/>
          <w:p>
            <w:pPr>
              <w:pStyle w:val="Compact"/>
            </w:pPr>
            <w:r>
              <w:t xml:space="preserve">0.5700</w:t>
            </w:r>
          </w:p>
        </w:tc>
        <w:tc>
          <w:tcPr/>
          <w:p>
            <w:pPr>
              <w:pStyle w:val="Compact"/>
            </w:pPr>
            <w:r>
              <w:t xml:space="preserve">0.8725</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0.6985</w:t>
            </w:r>
          </w:p>
        </w:tc>
        <w:tc>
          <w:tcPr/>
          <w:p>
            <w:pPr>
              <w:pStyle w:val="Compact"/>
            </w:pPr>
          </w:p>
        </w:tc>
        <w:tc>
          <w:tcPr/>
          <w:p>
            <w:pPr>
              <w:pStyle w:val="Compact"/>
            </w:pPr>
          </w:p>
        </w:tc>
        <w:tc>
          <w:tcPr/>
          <w:p>
            <w:pPr>
              <w:pStyle w:val="Compact"/>
            </w:pPr>
            <w:r>
              <w:t xml:space="preserve">0.5693</w:t>
            </w:r>
          </w:p>
        </w:tc>
        <w:tc>
          <w:tcPr/>
          <w:p>
            <w:pPr>
              <w:pStyle w:val="Compact"/>
            </w:pPr>
            <w:r>
              <w:t xml:space="preserve">0.8515</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0.7719</w:t>
            </w:r>
          </w:p>
        </w:tc>
        <w:tc>
          <w:tcPr/>
          <w:p>
            <w:pPr>
              <w:pStyle w:val="Compact"/>
            </w:pPr>
            <w:r>
              <w:t xml:space="preserve">0.6840</w:t>
            </w:r>
          </w:p>
        </w:tc>
        <w:tc>
          <w:tcPr/>
          <w:p>
            <w:pPr>
              <w:pStyle w:val="Compact"/>
            </w:pPr>
            <w:r>
              <w:t xml:space="preserve">0.8529</w:t>
            </w:r>
          </w:p>
        </w:tc>
        <w:tc>
          <w:tcPr/>
          <w:p>
            <w:pPr>
              <w:pStyle w:val="Compact"/>
            </w:pPr>
            <w:r>
              <w:t xml:space="preserve">0.5968</w:t>
            </w:r>
          </w:p>
        </w:tc>
        <w:tc>
          <w:tcPr/>
          <w:p>
            <w:pPr>
              <w:pStyle w:val="Compact"/>
            </w:pPr>
            <w:r>
              <w:t xml:space="preserve">0.8734</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0.7517</w:t>
            </w:r>
          </w:p>
        </w:tc>
        <w:tc>
          <w:tcPr/>
          <w:p>
            <w:pPr>
              <w:pStyle w:val="Compact"/>
            </w:pPr>
            <w:r>
              <w:t xml:space="preserve">0.6764</w:t>
            </w:r>
          </w:p>
        </w:tc>
        <w:tc>
          <w:tcPr/>
          <w:p>
            <w:pPr>
              <w:pStyle w:val="Compact"/>
            </w:pPr>
            <w:r>
              <w:t xml:space="preserve">0.8223</w:t>
            </w:r>
          </w:p>
        </w:tc>
        <w:tc>
          <w:tcPr/>
          <w:p>
            <w:pPr>
              <w:pStyle w:val="Compact"/>
            </w:pPr>
            <w:r>
              <w:t xml:space="preserve">0.6016</w:t>
            </w:r>
          </w:p>
        </w:tc>
        <w:tc>
          <w:tcPr/>
          <w:p>
            <w:pPr>
              <w:pStyle w:val="Compact"/>
            </w:pPr>
            <w:r>
              <w:t xml:space="preserve">0.7562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0.6352</w:t>
            </w:r>
          </w:p>
        </w:tc>
        <w:tc>
          <w:tcPr/>
          <w:p>
            <w:pPr>
              <w:pStyle w:val="Compact"/>
            </w:pPr>
            <w:r>
              <w:t xml:space="preserve">0.5514</w:t>
            </w:r>
          </w:p>
        </w:tc>
        <w:tc>
          <w:tcPr/>
          <w:p>
            <w:pPr>
              <w:pStyle w:val="Compact"/>
            </w:pPr>
            <w:r>
              <w:t xml:space="preserve">0.7114</w:t>
            </w:r>
          </w:p>
        </w:tc>
        <w:tc>
          <w:tcPr/>
          <w:p>
            <w:pPr>
              <w:pStyle w:val="Compact"/>
            </w:pPr>
            <w:r>
              <w:t xml:space="preserve">0.5700</w:t>
            </w:r>
          </w:p>
        </w:tc>
        <w:tc>
          <w:tcPr/>
          <w:p>
            <w:pPr>
              <w:pStyle w:val="Compact"/>
            </w:pPr>
            <w:r>
              <w:t xml:space="preserve">0.5752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0.6434</w:t>
            </w:r>
          </w:p>
        </w:tc>
        <w:tc>
          <w:tcPr/>
          <w:p>
            <w:pPr>
              <w:pStyle w:val="Compact"/>
            </w:pPr>
            <w:r>
              <w:t xml:space="preserve">0.5609</w:t>
            </w:r>
          </w:p>
        </w:tc>
        <w:tc>
          <w:tcPr/>
          <w:p>
            <w:pPr>
              <w:pStyle w:val="Compact"/>
            </w:pPr>
            <w:r>
              <w:t xml:space="preserve">0.7208</w:t>
            </w:r>
          </w:p>
        </w:tc>
        <w:tc>
          <w:tcPr/>
          <w:p>
            <w:pPr>
              <w:pStyle w:val="Compact"/>
            </w:pPr>
            <w:r>
              <w:t xml:space="preserve">0.5693</w:t>
            </w:r>
          </w:p>
        </w:tc>
        <w:tc>
          <w:tcPr/>
          <w:p>
            <w:pPr>
              <w:pStyle w:val="Compact"/>
            </w:pPr>
            <w:r>
              <w:t xml:space="preserve">0.5589</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0.5370</w:t>
            </w:r>
          </w:p>
        </w:tc>
        <w:tc>
          <w:tcPr/>
          <w:p>
            <w:pPr>
              <w:pStyle w:val="Compact"/>
            </w:pPr>
            <w:r>
              <w:t xml:space="preserve">0.4324</w:t>
            </w:r>
          </w:p>
        </w:tc>
        <w:tc>
          <w:tcPr/>
          <w:p>
            <w:pPr>
              <w:pStyle w:val="Compact"/>
            </w:pPr>
            <w:r>
              <w:t xml:space="preserve">0.6410</w:t>
            </w:r>
          </w:p>
        </w:tc>
        <w:tc>
          <w:tcPr/>
          <w:p>
            <w:pPr>
              <w:pStyle w:val="Compact"/>
            </w:pPr>
            <w:r>
              <w:t xml:space="preserve">0.5070</w:t>
            </w:r>
          </w:p>
        </w:tc>
        <w:tc>
          <w:tcPr/>
          <w:p>
            <w:pPr>
              <w:pStyle w:val="Compact"/>
            </w:pPr>
            <w:r>
              <w:t xml:space="preserve">0.8534</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0.5255</w:t>
            </w:r>
          </w:p>
        </w:tc>
        <w:tc>
          <w:tcPr/>
          <w:p>
            <w:pPr>
              <w:pStyle w:val="Compact"/>
            </w:pPr>
            <w:r>
              <w:t xml:space="preserve">0.4320</w:t>
            </w:r>
          </w:p>
        </w:tc>
        <w:tc>
          <w:tcPr/>
          <w:p>
            <w:pPr>
              <w:pStyle w:val="Compact"/>
            </w:pPr>
            <w:r>
              <w:t xml:space="preserve">0.6156</w:t>
            </w:r>
          </w:p>
        </w:tc>
        <w:tc>
          <w:tcPr/>
          <w:p>
            <w:pPr>
              <w:pStyle w:val="Compact"/>
            </w:pPr>
            <w:r>
              <w:t xml:space="preserve">0.5038</w:t>
            </w:r>
          </w:p>
        </w:tc>
        <w:tc>
          <w:tcPr/>
          <w:p>
            <w:pPr>
              <w:pStyle w:val="Compact"/>
            </w:pPr>
            <w:r>
              <w:t xml:space="preserve">0.6202</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0.5224</w:t>
            </w:r>
          </w:p>
        </w:tc>
        <w:tc>
          <w:tcPr/>
          <w:p>
            <w:pPr>
              <w:pStyle w:val="Compact"/>
            </w:pPr>
            <w:r>
              <w:t xml:space="preserve">0.4330</w:t>
            </w:r>
          </w:p>
        </w:tc>
        <w:tc>
          <w:tcPr/>
          <w:p>
            <w:pPr>
              <w:pStyle w:val="Compact"/>
            </w:pPr>
            <w:r>
              <w:t xml:space="preserve">0.6096</w:t>
            </w:r>
          </w:p>
        </w:tc>
        <w:tc>
          <w:tcPr/>
          <w:p>
            <w:pPr>
              <w:pStyle w:val="Compact"/>
            </w:pPr>
            <w:r>
              <w:t xml:space="preserve">0.5040</w:t>
            </w:r>
          </w:p>
        </w:tc>
        <w:tc>
          <w:tcPr/>
          <w:p>
            <w:pPr>
              <w:pStyle w:val="Compact"/>
            </w:pPr>
            <w:r>
              <w:t xml:space="preserve">0.6561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0.6258</w:t>
            </w:r>
          </w:p>
        </w:tc>
        <w:tc>
          <w:tcPr/>
          <w:p>
            <w:pPr>
              <w:pStyle w:val="Compact"/>
            </w:pPr>
            <w:r>
              <w:t xml:space="preserve">0.5405</w:t>
            </w:r>
          </w:p>
        </w:tc>
        <w:tc>
          <w:tcPr/>
          <w:p>
            <w:pPr>
              <w:pStyle w:val="Compact"/>
            </w:pPr>
            <w:r>
              <w:t xml:space="preserve">0.7065</w:t>
            </w:r>
          </w:p>
        </w:tc>
        <w:tc>
          <w:tcPr/>
          <w:p>
            <w:pPr>
              <w:pStyle w:val="Compact"/>
            </w:pPr>
            <w:r>
              <w:t xml:space="preserve">0.5070</w:t>
            </w:r>
          </w:p>
        </w:tc>
        <w:tc>
          <w:tcPr/>
          <w:p>
            <w:pPr>
              <w:pStyle w:val="Compact"/>
            </w:pPr>
            <w:r>
              <w:t xml:space="preserve">0.8184</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0.6069</w:t>
            </w:r>
          </w:p>
        </w:tc>
        <w:tc>
          <w:tcPr/>
          <w:p>
            <w:pPr>
              <w:pStyle w:val="Compact"/>
            </w:pPr>
            <w:r>
              <w:t xml:space="preserve">0.5235</w:t>
            </w:r>
          </w:p>
        </w:tc>
        <w:tc>
          <w:tcPr/>
          <w:p>
            <w:pPr>
              <w:pStyle w:val="Compact"/>
            </w:pPr>
            <w:r>
              <w:t xml:space="preserve">0.6926</w:t>
            </w:r>
          </w:p>
        </w:tc>
        <w:tc>
          <w:tcPr/>
          <w:p>
            <w:pPr>
              <w:pStyle w:val="Compact"/>
            </w:pPr>
            <w:r>
              <w:t xml:space="preserve">0.5070</w:t>
            </w:r>
          </w:p>
        </w:tc>
        <w:tc>
          <w:tcPr/>
          <w:p>
            <w:pPr>
              <w:pStyle w:val="Compact"/>
            </w:pPr>
            <w:r>
              <w:t xml:space="preserve">0.8086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0.4772</w:t>
            </w:r>
          </w:p>
        </w:tc>
        <w:tc>
          <w:tcPr/>
          <w:p>
            <w:pPr>
              <w:pStyle w:val="Compact"/>
            </w:pPr>
            <w:r>
              <w:t xml:space="preserve">0.3829</w:t>
            </w:r>
          </w:p>
        </w:tc>
        <w:tc>
          <w:tcPr/>
          <w:p>
            <w:pPr>
              <w:pStyle w:val="Compact"/>
            </w:pPr>
            <w:r>
              <w:t xml:space="preserve">0.5696</w:t>
            </w:r>
          </w:p>
        </w:tc>
        <w:tc>
          <w:tcPr/>
          <w:p>
            <w:pPr>
              <w:pStyle w:val="Compact"/>
            </w:pPr>
            <w:r>
              <w:t xml:space="preserve">0.5038</w:t>
            </w:r>
          </w:p>
        </w:tc>
        <w:tc>
          <w:tcPr/>
          <w:p>
            <w:pPr>
              <w:pStyle w:val="Compact"/>
            </w:pPr>
            <w:r>
              <w:t xml:space="preserve">0.6036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0.4805</w:t>
            </w:r>
          </w:p>
        </w:tc>
        <w:tc>
          <w:tcPr/>
          <w:p>
            <w:pPr>
              <w:pStyle w:val="Compact"/>
            </w:pPr>
            <w:r>
              <w:t xml:space="preserve">0.3919</w:t>
            </w:r>
          </w:p>
        </w:tc>
        <w:tc>
          <w:tcPr/>
          <w:p>
            <w:pPr>
              <w:pStyle w:val="Compact"/>
            </w:pPr>
            <w:r>
              <w:t xml:space="preserve">0.5687</w:t>
            </w:r>
          </w:p>
        </w:tc>
        <w:tc>
          <w:tcPr/>
          <w:p>
            <w:pPr>
              <w:pStyle w:val="Compact"/>
            </w:pPr>
            <w:r>
              <w:t xml:space="preserve">0.5040</w:t>
            </w:r>
          </w:p>
        </w:tc>
        <w:tc>
          <w:tcPr/>
          <w:p>
            <w:pPr>
              <w:pStyle w:val="Compact"/>
            </w:pPr>
            <w:r>
              <w:t xml:space="preserve">0.6472</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0.6458</w:t>
            </w:r>
          </w:p>
        </w:tc>
        <w:tc>
          <w:tcPr/>
          <w:p>
            <w:pPr>
              <w:pStyle w:val="Compact"/>
            </w:pPr>
            <w:r>
              <w:t xml:space="preserve">0.3333</w:t>
            </w:r>
          </w:p>
        </w:tc>
        <w:tc>
          <w:tcPr/>
          <w:p>
            <w:pPr>
              <w:pStyle w:val="Compact"/>
            </w:pPr>
            <w:r>
              <w:t xml:space="preserve">0.9445</w:t>
            </w:r>
          </w:p>
        </w:tc>
        <w:tc>
          <w:tcPr/>
          <w:p>
            <w:pPr>
              <w:pStyle w:val="Compact"/>
            </w:pPr>
            <w:r>
              <w:t xml:space="preserve">0.5000</w:t>
            </w:r>
          </w:p>
        </w:tc>
        <w:tc>
          <w:tcPr/>
          <w:p>
            <w:pPr>
              <w:pStyle w:val="Compact"/>
            </w:pPr>
            <w:r>
              <w:t xml:space="preserve">0.5104</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0.8750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0.4750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0.3333</w:t>
            </w:r>
          </w:p>
        </w:tc>
        <w:tc>
          <w:tcPr/>
          <w:p>
            <w:pPr>
              <w:pStyle w:val="Compact"/>
            </w:pPr>
            <w:r>
              <w:t xml:space="preserve">0.0000</w:t>
            </w:r>
          </w:p>
        </w:tc>
        <w:tc>
          <w:tcPr/>
          <w:p>
            <w:pPr>
              <w:pStyle w:val="Compact"/>
            </w:pPr>
            <w:r>
              <w:t xml:space="preserve">1.0000</w:t>
            </w:r>
          </w:p>
        </w:tc>
        <w:tc>
          <w:tcPr/>
          <w:p>
            <w:pPr>
              <w:pStyle w:val="Compact"/>
            </w:pPr>
            <w:r>
              <w:t xml:space="preserve">0.5000</w:t>
            </w:r>
          </w:p>
        </w:tc>
        <w:tc>
          <w:tcPr/>
          <w:p>
            <w:pPr>
              <w:pStyle w:val="Compact"/>
            </w:pPr>
            <w:r>
              <w:t xml:space="preserve">0.6667</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bl>
    <w:p>
      <w:pPr>
        <w:pStyle w:val="FirstParagraph"/>
      </w:pPr>
      <w:r>
        <w:t xml:space="preserve">The analysis code also writes one verdict line per suite, shown in Table 3. Under absolute moves MiniGrid/BabyAI is</w:t>
      </w:r>
      <w:r>
        <w:t xml:space="preserve"> </w:t>
      </w:r>
      <w:r>
        <w:t xml:space="preserve">“not failed”</w:t>
      </w:r>
      <w:r>
        <w:t xml:space="preserve">, a verdict decided by I1 alone because R is void. Procgen with the whole-level view is</w:t>
      </w:r>
      <w:r>
        <w:t xml:space="preserve"> </w:t>
      </w:r>
      <w:r>
        <w:t xml:space="preserve">“not failed”</w:t>
      </w:r>
      <w:r>
        <w:t xml:space="preserve"> </w:t>
      </w:r>
      <w:r>
        <w:t xml:space="preserve">over all games and over the in-range games. The primitive-action line reads</w:t>
      </w:r>
      <w:r>
        <w:t xml:space="preserve"> </w:t>
      </w:r>
      <w:r>
        <w:t xml:space="preserve">“suite FAIL”</w:t>
      </w:r>
      <w:r>
        <w:t xml:space="preserve">, but the registered text only reports that condition, so this line enters no outcome clause (see Deviations).</w:t>
      </w:r>
    </w:p>
    <w:p>
      <w:pPr>
        <w:pStyle w:val="BodyText"/>
      </w:pPr>
      <w:r>
        <w:rPr>
          <w:b/>
          <w:bCs/>
        </w:rPr>
        <w:t xml:space="preserve">Table 3.</w:t>
      </w:r>
      <w:r>
        <w:t xml:space="preserve"> </w:t>
      </w:r>
      <w:r>
        <w:t xml:space="preserve">The V2 suite lines, verbatim from docs/tables/v2.json (commit bb0f1a1).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suite line</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not failed (decided by I1 alone)</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suite FAIL (decided by R and I1)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reported, not tested</w:t>
            </w:r>
          </w:p>
        </w:tc>
      </w:tr>
    </w:tbl>
    <w:p>
      <w:pPr>
        <w:pStyle w:val="FirstParagraph"/>
      </w:pPr>
      <w:r>
        <w:t xml:space="preserve">The nuisance baseline ranked the games better than the census on all six primary MiniGrid/BabyAI lines: the three under absolute moves, which the registered text tests, and the three under primitive actions, which it reports (Figure 2). Over all 14 MiniGrid/BabyAI lines, primary or not,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t xml:space="preserve">The two ARC-AGI-3 lines are reported and not tested, as registered. Because of the defect recorded among the deviations, they are computed over all 25 public games rather than the 17 held-out games. The</w:t>
      </w:r>
      <w:r>
        <w:t xml:space="preserve"> </w:t>
      </w:r>
      <w:r>
        <w:t xml:space="preserve">“FAIL”</w:t>
      </w:r>
      <w:r>
        <w:t xml:space="preserve"> </w:t>
      </w:r>
      <w:r>
        <w:t xml:space="preserve">printed on them has no registered meaning and enters no gate. The line over the 17 held-out games is given, as exploratory, in the next section.</w:t>
      </w:r>
    </w:p>
    <w:p>
      <w:pPr>
        <w:pStyle w:val="BodyText"/>
      </w:pPr>
      <w:r>
        <w:t xml:space="preserve">Gate G3 applies the registered outcome table (Table 4). The outcome is a refutation, by the clause</w:t>
      </w:r>
      <w:r>
        <w:t xml:space="preserve"> </w:t>
      </w:r>
      <w:r>
        <w:t xml:space="preserve">“V1 fails on any suite”</w:t>
      </w:r>
      <w:r>
        <w:t xml:space="preserve">: V1 fails on MiniGrid/BabyAI in both conditions and on Procgen. The other two clauses of the refutation do not apply, since the V2 suite line under absolute moves is</w:t>
      </w:r>
      <w:r>
        <w:t xml:space="preserve"> </w:t>
      </w:r>
      <w:r>
        <w:t xml:space="preserve">“not failed”</w:t>
      </w:r>
      <w:r>
        <w:t xml:space="preserve"> </w:t>
      </w:r>
      <w:r>
        <w:t xml:space="preserve">and V2 is not void on every suite. One clause is enough. This classification was recorded on 13 October 2026, before any text about the results was written.</w:t>
      </w:r>
    </w:p>
    <w:p>
      <w:pPr>
        <w:pStyle w:val="BodyText"/>
      </w:pPr>
      <w:r>
        <w:rPr>
          <w:b/>
          <w:bCs/>
        </w:rPr>
        <w:t xml:space="preserve">Table 4.</w:t>
      </w:r>
      <w:r>
        <w:t xml:space="preserve"> </w:t>
      </w:r>
      <w:r>
        <w:t xml:space="preserve">The registered outcome table, as fixed in the protocol before any confirmatory run (B: MiniGrid/BabyAI; C: Procgen).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definition (registered)</w:t>
            </w:r>
          </w:p>
        </w:tc>
        <w:tc>
          <w:tcPr/>
          <w:p>
            <w:pPr>
              <w:pStyle w:val="Compact"/>
            </w:pPr>
            <w:r>
              <w:t xml:space="preserve">venue (registered)</w:t>
            </w:r>
          </w:p>
        </w:tc>
      </w:tr>
      <w:tr>
        <w:tc>
          <w:tcPr/>
          <w:p>
            <w:pPr>
              <w:pStyle w:val="Compact"/>
            </w:pPr>
            <w:r>
              <w:t xml:space="preserve">Support</w:t>
            </w:r>
          </w:p>
        </w:tc>
        <w:tc>
          <w:tcPr/>
          <w:p>
            <w:pPr>
              <w:pStyle w:val="Compact"/>
            </w:pPr>
            <w:r>
              <w:t xml:space="preserve">V1 passes on B (both conditions) and C, V2 passes for R and I1 on B-macro and C (not void), and V3 holds</w:t>
            </w:r>
          </w:p>
        </w:tc>
        <w:tc>
          <w:tcPr/>
          <w:p>
            <w:pPr>
              <w:pStyle w:val="Compact"/>
            </w:pPr>
            <w:r>
              <w:t xml:space="preserve">JAIR full article</w:t>
            </w:r>
          </w:p>
        </w:tc>
      </w:tr>
      <w:tr>
        <w:tc>
          <w:tcPr/>
          <w:p>
            <w:pPr>
              <w:pStyle w:val="Compact"/>
            </w:pPr>
            <w:r>
              <w:t xml:space="preserve">Partial</w:t>
            </w:r>
          </w:p>
        </w:tc>
        <w:tc>
          <w:tcPr/>
          <w:p>
            <w:pPr>
              <w:pStyle w:val="Compact"/>
            </w:pPr>
            <w:r>
              <w:t xml:space="preserve">V1 passes everywhere, but V2 passes on B-macro only or is void on C, or passes on C for R only</w:t>
            </w:r>
          </w:p>
        </w:tc>
        <w:tc>
          <w:tcPr/>
          <w:p>
            <w:pPr>
              <w:pStyle w:val="Compact"/>
            </w:pPr>
            <w:r>
              <w:t xml:space="preserve">IEEE Transactions on Games full paper</w:t>
            </w:r>
          </w:p>
        </w:tc>
      </w:tr>
      <w:tr>
        <w:tc>
          <w:tcPr/>
          <w:p>
            <w:pPr>
              <w:pStyle w:val="Compact"/>
            </w:pPr>
            <w:r>
              <w:t xml:space="preserve">Refute</w:t>
            </w:r>
          </w:p>
        </w:tc>
        <w:tc>
          <w:tcPr/>
          <w:p>
            <w:pPr>
              <w:pStyle w:val="Compact"/>
            </w:pPr>
            <w:r>
              <w:t xml:space="preserve">V1 fails on any suite, or V2 fails on B-macro, or V2 is void on every suite</w:t>
            </w:r>
          </w:p>
        </w:tc>
        <w:tc>
          <w:tcPr/>
          <w:p>
            <w:pPr>
              <w:pStyle w:val="Compact"/>
            </w:pPr>
            <w:r>
              <w:t xml:space="preserve">repository record only, at most an arXiv note</w:t>
            </w:r>
          </w:p>
        </w:tc>
      </w:tr>
    </w:tbl>
    <w:p>
      <w:pPr>
        <w:pStyle w:val="Heading1"/>
      </w:pPr>
      <w:bookmarkStart w:id="32" w:name="_bcd9674c562ddc33abcb42b5a39789d18fe4f67"/>
      <w:r>
        <w:t xml:space="preserve">Exploratory diagnosis</w:t>
      </w:r>
      <w:bookmarkEnd w:id="32"/>
    </w:p>
    <w:p>
      <w:pPr>
        <w:pStyle w:val="FirstParagraph"/>
      </w:pPr>
      <w:r>
        <w:t xml:space="preserve">This section is exploratory. It was written after the outcome was known, it tests nothing, and it changes nothing in the registered results above. Its numbers come from an exploratory script that calls the frozen analysis functions unchanged; the script and its output are named in the data and code availability section. Two consistency checks come first, and both are exploratory. The census verdict stored in each of the 3,500 planner rows equals the verdict recomputed from that row’s report, with 0 mismatches. The 25-game ARC-AGI-3 lines recomputed by the same functions equal those of Table 2 to four decimals.</w:t>
      </w:r>
    </w:p>
    <w:p>
      <w:pPr>
        <w:pStyle w:val="BodyText"/>
      </w:pPr>
      <w:r>
        <w:t xml:space="preserve">Figure 3 shows, for every V1 line, how the games split between truth and census, and Figure 4 shows how often single seeds disagree with their game’s majority. Both are exploratory.</w:t>
      </w:r>
    </w:p>
    <w:p>
      <w:pPr>
        <w:pStyle w:val="CaptionedFigure"/>
      </w:pPr>
      <w:r>
        <w:drawing>
          <wp:inline>
            <wp:extent cx="5334000" cy="3922762"/>
            <wp:effectExtent b="0" l="0" r="0" t="0"/>
            <wp:docPr descr="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 title="" id="34" name="Picture"/>
            <a:graphic>
              <a:graphicData uri="http://schemas.openxmlformats.org/drawingml/2006/picture">
                <pic:pic>
                  <pic:nvPicPr>
                    <pic:cNvPr descr="fig3.png" id="35" name="Picture"/>
                    <pic:cNvPicPr>
                      <a:picLocks noChangeArrowheads="1" noChangeAspect="1"/>
                    </pic:cNvPicPr>
                  </pic:nvPicPr>
                  <pic:blipFill>
                    <a:blip r:embed="rId33"/>
                    <a:stretch>
                      <a:fillRect/>
                    </a:stretch>
                  </pic:blipFill>
                  <pic:spPr bwMode="auto">
                    <a:xfrm>
                      <a:off x="0" y="0"/>
                      <a:ext cx="5334000" cy="3922762"/>
                    </a:xfrm>
                    <a:prstGeom prst="rect">
                      <a:avLst/>
                    </a:prstGeom>
                    <a:noFill/>
                    <a:ln w="9525">
                      <a:noFill/>
                      <a:headEnd/>
                      <a:tailEnd/>
                    </a:ln>
                  </pic:spPr>
                </pic:pic>
              </a:graphicData>
            </a:graphic>
          </wp:inline>
        </w:drawing>
      </w:r>
    </w:p>
    <w:p>
      <w:pPr>
        <w:pStyle w:val="ImageCaption"/>
      </w:pPr>
      <w:r>
        <w:t xml:space="preserve">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w:t>
      </w:r>
    </w:p>
    <w:p>
      <w:pPr>
        <w:pStyle w:val="FirstParagraph"/>
      </w:pPr>
      <w: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On those games most seeds failed the per-seed A1 rule, which fails when no key has a learned shift or when every tried key has the same shift. A1, input coupling, is the assumption that the census and the truth table describe in nearly the same terms, and it is the only one with no failing V1 line.</w:t>
      </w:r>
    </w:p>
    <w:p>
      <w:pPr>
        <w:pStyle w:val="BodyText"/>
      </w:pPr>
      <w: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Procgen there are 6 games where the truth fails A2 because other entities also respond to the action. The census rule has no clause for that, and on these games it found one controlled object on at least 9 of 10 seeds.</w:t>
      </w:r>
    </w:p>
    <w:p>
      <w:pPr>
        <w:pStyle w:val="BodyText"/>
      </w:pPr>
      <w:r>
        <w:t xml:space="preserve">The exploratory counts for A3 under absolute moves are these: 92 games have the truth holding and the census failing. Four step vectors were accepted on 850 of their 920 seeds, so the learned motion was mostly right. Of the 775 seeds whose verdict is</w:t>
      </w:r>
      <w:r>
        <w:t xml:space="preserve"> </w:t>
      </w:r>
      <w:r>
        <w:t xml:space="preserve">“fails”</w:t>
      </w:r>
      <w:r>
        <w:t xml:space="preserve">, 755 carry the planner’s first-level outcome</w:t>
      </w:r>
      <w:r>
        <w:t xml:space="preserve"> </w:t>
      </w:r>
      <w:r>
        <w:t xml:space="preserve">“mispredicted”</w:t>
      </w:r>
      <w:r>
        <w:t xml:space="preserve"> </w:t>
      </w:r>
      <w:r>
        <w:t xml:space="preserve">and the other 20 never located the agent. The census’s A3 failure therefore comes from the planner’s prediction during play, not from the learned step vectors. Under primitive actions the truth fails everywhere, because forward depends on facing, and the census says</w:t>
      </w:r>
      <w:r>
        <w:t xml:space="preserve"> </w:t>
      </w:r>
      <w:r>
        <w:t xml:space="preserve">“holds”</w:t>
      </w:r>
      <w:r>
        <w:t xml:space="preserve"> </w:t>
      </w:r>
      <w:r>
        <w:t xml:space="preserve">on 73 games. One step vector per key, learned from the starting facing, cannot reveal a dependence on facing while the turns record no shift.</w:t>
      </w:r>
    </w:p>
    <w:p>
      <w:pPr>
        <w:pStyle w:val="BodyText"/>
      </w:pPr>
      <w:r>
        <w:t xml:space="preserve">For A4 the exploratory reading is short. The census rule for A4 is conditional on A3, so most A4 failures on MiniGrid/BabyAI follow from those of A3. On Procgen the counter of walked-through</w:t>
      </w:r>
      <w:r>
        <w:t xml:space="preserve"> </w:t>
      </w:r>
      <w:r>
        <w:t xml:space="preserve">“walls”</w:t>
      </w:r>
      <w:r>
        <w:t xml:space="preserve"> </w:t>
      </w:r>
      <w:r>
        <w:t xml:space="preserve">is above zero on some seeds of all 13 games where the truth holds A4, and on all 10 seeds of 5 of them. That counter rises when the planner walks through a color it had classified as a wall. It counts a color that blocked at one time and not at another, as the planner saw it. The counters do not say whether that came from the game’s obstacles, from momentum or from the planner’s classification.</w:t>
      </w:r>
    </w:p>
    <w:p>
      <w:pPr>
        <w:pStyle w:val="BodyText"/>
      </w:pPr>
      <w: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w:t>
      </w:r>
      <w:r>
        <w:t xml:space="preserve"> </w:t>
      </w:r>
      <w:r>
        <w:t xml:space="preserve">“holds”</w:t>
      </w:r>
      <w:r>
        <w:t xml:space="preserve"> </w:t>
      </w:r>
      <w:r>
        <w:t xml:space="preserve">where the truth fails on 23 games under absolute moves and 15 under primitive actions, and on 0 Procgen games. Success in each of those environments needs facing the target, a toggle or a pickup. They belong to the GoTo, GoToObj, OpenDoor, OneRoom, Fetch and Unlock families. The level then ends on a cell beside or in front of the target, and the census, reading places only, recorded that cell as a goal.</w:t>
      </w:r>
    </w:p>
    <w:p>
      <w:pPr>
        <w:pStyle w:val="BodyText"/>
      </w:pPr>
      <w:r>
        <w:t xml:space="preserve">In the same exploratory counts, the negative κ values for A5 come mostly from</w:t>
      </w:r>
      <w:r>
        <w:t xml:space="preserve"> </w:t>
      </w:r>
      <w:r>
        <w:t xml:space="preserve">“undetermined”</w:t>
      </w:r>
      <w:r>
        <w:t xml:space="preserve">. The registered κ maps an undetermined verdict to the value opposite the truth. The cell</w:t>
      </w:r>
      <w:r>
        <w:t xml:space="preserve"> </w:t>
      </w:r>
      <w:r>
        <w:t xml:space="preserve">“truth fails, census holds”</w:t>
      </w:r>
      <w:r>
        <w:t xml:space="preserve"> </w:t>
      </w:r>
      <w:r>
        <w:t xml:space="preserve">used by κ therefore contains 23 census</w:t>
      </w:r>
      <w:r>
        <w:t xml:space="preserve"> </w:t>
      </w:r>
      <w:r>
        <w:t xml:space="preserve">“holds”</w:t>
      </w:r>
      <w:r>
        <w:t xml:space="preserve"> </w:t>
      </w:r>
      <w:r>
        <w:t xml:space="preserve">and 61 undetermined games under absolute moves (84 in all). It contains 15 and 105 under primitive actions (120 in all), and 0 and 8 on Procgen (8 in all). On Procgen the negative κ comes entirely from undetermined games.</w:t>
      </w:r>
    </w:p>
    <w:p>
      <w:pPr>
        <w:pStyle w:val="CaptionedFigure"/>
      </w:pPr>
      <w:r>
        <w:drawing>
          <wp:inline>
            <wp:extent cx="5334000" cy="3452349"/>
            <wp:effectExtent b="0" l="0" r="0" t="0"/>
            <wp:docPr descr="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 title="" id="37" name="Picture"/>
            <a:graphic>
              <a:graphicData uri="http://schemas.openxmlformats.org/drawingml/2006/picture">
                <pic:pic>
                  <pic:nvPicPr>
                    <pic:cNvPr descr="fig4.png" id="38" name="Picture"/>
                    <pic:cNvPicPr>
                      <a:picLocks noChangeArrowheads="1" noChangeAspect="1"/>
                    </pic:cNvPicPr>
                  </pic:nvPicPr>
                  <pic:blipFill>
                    <a:blip r:embed="rId36"/>
                    <a:stretch>
                      <a:fillRect/>
                    </a:stretch>
                  </pic:blipFill>
                  <pic:spPr bwMode="auto">
                    <a:xfrm>
                      <a:off x="0" y="0"/>
                      <a:ext cx="5334000" cy="3452349"/>
                    </a:xfrm>
                    <a:prstGeom prst="rect">
                      <a:avLst/>
                    </a:prstGeom>
                    <a:noFill/>
                    <a:ln w="9525">
                      <a:noFill/>
                      <a:headEnd/>
                      <a:tailEnd/>
                    </a:ln>
                  </pic:spPr>
                </pic:pic>
              </a:graphicData>
            </a:graphic>
          </wp:inline>
        </w:drawing>
      </w:r>
    </w:p>
    <w:p>
      <w:pPr>
        <w:pStyle w:val="ImageCaption"/>
      </w:pPr>
      <w:r>
        <w:t xml:space="preserve">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w:t>
      </w:r>
    </w:p>
    <w:p>
      <w:pPr>
        <w:pStyle w:val="FirstParagraph"/>
      </w:pPr>
      <w:r>
        <w:t xml:space="preserve">In the same exploratory data, seeds often disagree with their game’s majority where the verdict depends on the course of the planner’s run: its learning phase for A2, or its first-level outcome for A3 and A4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w:t>
      </w:r>
      <w:r>
        <w:t xml:space="preserve"> </w:t>
      </w:r>
      <w:r>
        <w:t xml:space="preserve">“wall”</w:t>
      </w:r>
      <w:r>
        <w:t xml:space="preserve"> </w:t>
      </w:r>
      <w:r>
        <w:t xml:space="preserve">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t xml:space="preserve">Table 5 gives the exploratory ARC-AGI-3 line on the 17 held-out games, computed by the same frozen functions. It is reported and never tested. ARC-AGI-3 rows carry no adapter fields, so the baseline’s features are constant there and its AUROC is 0.5000 by construction.</w:t>
      </w:r>
    </w:p>
    <w:p>
      <w:pPr>
        <w:pStyle w:val="BodyText"/>
      </w:pPr>
      <w:r>
        <w:rPr>
          <w:b/>
          <w:bCs/>
        </w:rPr>
        <w:t xml:space="preserve">Table 5.</w:t>
      </w:r>
      <w:r>
        <w:t xml:space="preserve"> </w:t>
      </w:r>
      <w:r>
        <w:t xml:space="preserve">Exploratory V2 line on the 17 held-out ARC-AGI-3 games, from runs/exploratory/v1_diagnosis.json. Reported, never tested.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agent</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95% interval</w:t>
            </w:r>
          </w:p>
        </w:tc>
        <w:tc>
          <w:tcPr/>
          <w:p>
            <w:pPr>
              <w:pStyle w:val="Compact"/>
            </w:pPr>
            <w:r>
              <w:t xml:space="preserve">balanced accuracy</w:t>
            </w:r>
          </w:p>
        </w:tc>
        <w:tc>
          <w:tcPr/>
          <w:p>
            <w:pPr>
              <w:pStyle w:val="Compact"/>
            </w:pPr>
            <w:r>
              <w:t xml:space="preserve">baseline AUROC</w:t>
            </w:r>
          </w:p>
        </w:tc>
      </w:tr>
      <w:tr>
        <w:tc>
          <w:tcPr/>
          <w:p>
            <w:pPr>
              <w:pStyle w:val="Compact"/>
            </w:pPr>
            <w:r>
              <w:t xml:space="preserve">N</w:t>
            </w:r>
          </w:p>
        </w:tc>
        <w:tc>
          <w:tcPr/>
          <w:p>
            <w:pPr>
              <w:pStyle w:val="Compact"/>
            </w:pPr>
            <w:r>
              <w:t xml:space="preserve">17</w:t>
            </w:r>
          </w:p>
        </w:tc>
        <w:tc>
          <w:tcPr/>
          <w:p>
            <w:pPr>
              <w:pStyle w:val="Compact"/>
            </w:pPr>
            <w:r>
              <w:t xml:space="preserve">8</w:t>
            </w:r>
          </w:p>
        </w:tc>
        <w:tc>
          <w:tcPr/>
          <w:p>
            <w:pPr>
              <w:pStyle w:val="Compact"/>
            </w:pPr>
            <w:r>
              <w:t xml:space="preserve">0.3542</w:t>
            </w:r>
          </w:p>
        </w:tc>
        <w:tc>
          <w:tcPr/>
          <w:p>
            <w:pPr>
              <w:pStyle w:val="Compact"/>
            </w:pPr>
            <w:r>
              <w:t xml:space="preserve">[0.1041, 0.6346]</w:t>
            </w:r>
          </w:p>
        </w:tc>
        <w:tc>
          <w:tcPr/>
          <w:p>
            <w:pPr>
              <w:pStyle w:val="Compact"/>
            </w:pPr>
            <w:r>
              <w:t xml:space="preserve">0.5000</w:t>
            </w:r>
          </w:p>
        </w:tc>
        <w:tc>
          <w:tcPr/>
          <w:p>
            <w:pPr>
              <w:pStyle w:val="Compact"/>
            </w:pPr>
            <w:r>
              <w:t xml:space="preserve">0.5000</w:t>
            </w:r>
          </w:p>
        </w:tc>
      </w:tr>
      <w:tr>
        <w:tc>
          <w:tcPr/>
          <w:p>
            <w:pPr>
              <w:pStyle w:val="Compact"/>
            </w:pPr>
            <w:r>
              <w:t xml:space="preserve">R</w:t>
            </w:r>
          </w:p>
        </w:tc>
        <w:tc>
          <w:tcPr/>
          <w:p>
            <w:pPr>
              <w:pStyle w:val="Compact"/>
            </w:pPr>
            <w:r>
              <w:t xml:space="preserve">17</w:t>
            </w:r>
          </w:p>
        </w:tc>
        <w:tc>
          <w:tcPr/>
          <w:p>
            <w:pPr>
              <w:pStyle w:val="Compact"/>
            </w:pPr>
            <w:r>
              <w:t xml:space="preserve">9</w:t>
            </w:r>
          </w:p>
        </w:tc>
        <w:tc>
          <w:tcPr/>
          <w:p>
            <w:pPr>
              <w:pStyle w:val="Compact"/>
            </w:pPr>
            <w:r>
              <w:t xml:space="preserve">0.3403</w:t>
            </w:r>
          </w:p>
        </w:tc>
        <w:tc>
          <w:tcPr/>
          <w:p>
            <w:pPr>
              <w:pStyle w:val="Compact"/>
            </w:pPr>
            <w:r>
              <w:t xml:space="preserve">[0.0909, 0.6213]</w:t>
            </w:r>
          </w:p>
        </w:tc>
        <w:tc>
          <w:tcPr/>
          <w:p>
            <w:pPr>
              <w:pStyle w:val="Compact"/>
            </w:pPr>
            <w:r>
              <w:t xml:space="preserve">0.5000</w:t>
            </w:r>
          </w:p>
        </w:tc>
        <w:tc>
          <w:tcPr/>
          <w:p>
            <w:pPr>
              <w:pStyle w:val="Compact"/>
            </w:pPr>
            <w:r>
              <w:t xml:space="preserve">0.5000</w:t>
            </w:r>
          </w:p>
        </w:tc>
      </w:tr>
    </w:tbl>
    <w:p>
      <w:pPr>
        <w:pStyle w:val="FirstParagraph"/>
      </w:pPr>
      <w:r>
        <w:t xml:space="preserve">None of this exploratory material supports a causal claim. These are counts of counters, read after the outcome was known.</w:t>
      </w:r>
    </w:p>
    <w:p>
      <w:pPr>
        <w:pStyle w:val="Heading1"/>
      </w:pPr>
      <w:bookmarkStart w:id="39" w:name="_purpose"/>
      <w:r>
        <w:t xml:space="preserve">Purpose</w:t>
      </w:r>
      <w:bookmarkEnd w:id="39"/>
    </w:p>
    <w:p>
      <w:pPr>
        <w:pStyle w:val="FirstParagraph"/>
      </w:pPr>
      <w:r>
        <w:t xml:space="preserve">The original objective was to register, and then test without changing it, a method for describing unseen games before any agent plays them. The method was a cheap set of frame-only probes, fitted once, that would report the mechanics an assumption-driven agent depends on and would forecast where such agents finish the first level. Success would have supported a method article; the registered outcome table fixed what each result would permit. The initial hypothesis, as registered on the Open Science Framework on 27 September 2026, reads:</w:t>
      </w:r>
    </w:p>
    <w:p>
      <w:pPr>
        <w:pStyle w:val="BlockText"/>
      </w:pPr>
      <w: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Heading1"/>
      </w:pPr>
      <w:bookmarkStart w:id="40" w:name="_discussion"/>
      <w:r>
        <w:t xml:space="preserve">Discussion</w:t>
      </w:r>
      <w:bookmarkEnd w:id="40"/>
    </w:p>
    <w:p>
      <w:pPr>
        <w:pStyle w:val="Heading2"/>
      </w:pPr>
      <w:bookmarkStart w:id="41" w:name="_57a2a2d86e08d9f843720d7b77d4b67a54c7352"/>
      <w:r>
        <w:t xml:space="preserve">What the failure of V1 means, and what it does not</w:t>
      </w:r>
      <w:bookmarkEnd w:id="41"/>
    </w:p>
    <w:p>
      <w:pPr>
        <w:pStyle w:val="FirstParagraph"/>
      </w:pPr>
      <w: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suite. It says nothing about whether the assumption is a good description of the games, and nothing about whether some other instrument could measure it.</w:t>
      </w:r>
    </w:p>
    <w:p>
      <w:pPr>
        <w:pStyle w:val="BodyText"/>
      </w:pPr>
      <w:r>
        <w:t xml:space="preserve">The second half of the claim, prediction, did not pass for any agent either. By the registered outcome table, a V1 failure on any suite decides the outcome by itself, whatever V2 shows. A prediction built on a score that does not measure what it names would also be hard to interpret even if it had passed.</w:t>
      </w:r>
    </w:p>
    <w:p>
      <w:pPr>
        <w:pStyle w:val="Heading2"/>
      </w:pPr>
      <w:bookmarkStart w:id="42" w:name="_6c0e0c8f95d8091ff4d0e587f49a4329c88263d"/>
      <w:r>
        <w:t xml:space="preserve">Why the failure could not show on ARC-AGI-3</w:t>
      </w:r>
      <w:bookmarkEnd w:id="42"/>
    </w:p>
    <w:p>
      <w:pPr>
        <w:pStyle w:val="FirstParagraph"/>
      </w:pPr>
      <w:r>
        <w:t xml:space="preserve">I set the census constants while developing the planner on eight ARC-AGI-3 games, and I wrote the per-seed rules on top of the planner’s report. The protocol provided for a truth table derived from source for those games and for V1 on them, labeled development. I never wrote that table,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w:t>
      </w:r>
    </w:p>
    <w:p>
      <w:pPr>
        <w:pStyle w:val="Heading2"/>
      </w:pPr>
      <w:bookmarkStart w:id="43" w:name="_8c7b32c749831c8ca1e907aacc8b40cde9184ee"/>
      <w:r>
        <w:t xml:space="preserve">What a V1 check on the pilot games would have shown</w:t>
      </w:r>
      <w:bookmarkEnd w:id="43"/>
    </w:p>
    <w:p>
      <w:pPr>
        <w:pStyle w:val="FirstParagraph"/>
      </w:pPr>
      <w:r>
        <w:t xml:space="preserve">The pilot runs contained census verdicts for eight games, six MiniGrid/BabyAI environments and two Procgen games, all of which have truth-table entries. Comparing those verdicts with the truth before the v1.1 tag would have shown the disagreement before the 10,500 confirmatory runs were made. The protocol did not register such a check, and I did not make one. The pilot rules allowed adapter code to change after the pilot, but no census constant, threshold or truth entry. An early warning could therefore not have rescued the registered claim. It would have changed what was run next, and how much machine time was spent finding out.</w:t>
      </w:r>
    </w:p>
    <w:p>
      <w:pPr>
        <w:pStyle w:val="Heading2"/>
      </w:pPr>
      <w:bookmarkStart w:id="44" w:name="_d669e95fd87e269eab3571ac5d4ddb40788494e"/>
      <w:r>
        <w:t xml:space="preserve">The nuisance baseline</w:t>
      </w:r>
      <w:bookmarkEnd w:id="44"/>
    </w:p>
    <w:p>
      <w:pPr>
        <w:pStyle w:val="FirstParagraph"/>
      </w:pPr>
      <w:r>
        <w:t xml:space="preserve">On all six primary MiniGrid/BabyAI lines, a logistic regression on grid area, action count and color count ranked the games by first-level completion better than the census score did. Three of those lines are tested by the registered text and three are reported. How large and how varied an environment is predicted completion better than the five assumptions as measured. This holds for the agents and conditions examined, and it is a statement about the measured census, not about the assumptions as properties of the games. On Procgen the baseline did not rank the games better than the census on any line.</w:t>
      </w:r>
    </w:p>
    <w:p>
      <w:pPr>
        <w:pStyle w:val="Heading2"/>
      </w:pPr>
      <w:bookmarkStart w:id="45" w:name="_a1a8b1f82b3c48dbc70844059863ee065c9f4aa"/>
      <w:r>
        <w:t xml:space="preserve">The methodological mistake</w:t>
      </w:r>
      <w:bookmarkEnd w:id="45"/>
    </w:p>
    <w:p>
      <w:pPr>
        <w:pStyle w:val="FirstParagraph"/>
      </w:pPr>
      <w:r>
        <w:t xml:space="preserve">The mistake, stated plainly and read from the exploratory diagnosis, is that the probes and the truth predicates were not the same constructs, and that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and never checked on any game, before registration, that one estimated the other.</w:t>
      </w:r>
    </w:p>
    <w:p>
      <w:pPr>
        <w:pStyle w:val="Heading2"/>
      </w:pPr>
      <w:bookmarkStart w:id="46" w:name="_ef5b3ea2d7b17501f99ff8b6bd29875abad03fc"/>
      <w:r>
        <w:t xml:space="preserve">What a second, separately registered study would have to change</w:t>
      </w:r>
      <w:bookmarkEnd w:id="46"/>
    </w:p>
    <w:p>
      <w:pPr>
        <w:pStyle w:val="FirstParagraph"/>
      </w:pPr>
      <w:r>
        <w:t xml:space="preserve">What follows are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and compute V1 there before registration, rather than leave it for later as this protocol did. It would have to register a V1 gate on the pilot games, with a stop rule, before any confirmatory run. It would have to register how</w:t>
      </w:r>
      <w:r>
        <w:t xml:space="preserve"> </w:t>
      </w:r>
      <w:r>
        <w:t xml:space="preserve">“undetermined”</w:t>
      </w:r>
      <w:r>
        <w:t xml:space="preserve"> </w:t>
      </w:r>
      <w:r>
        <w:t xml:space="preserve">enters each test, rather than mapping it to the opposite of the truth for κ, so that a silent instrument and a wrong one are told apart. And it would have to name, before registration, a nuisance baseline that the census must beat on the development instance.</w:t>
      </w:r>
    </w:p>
    <w:p>
      <w:pPr>
        <w:pStyle w:val="Heading2"/>
      </w:pPr>
      <w:bookmarkStart w:id="47" w:name="_e82ddd5af3ed5597ebb7ce6961df088c51408fb"/>
      <w:r>
        <w:t xml:space="preserve">What this study does not show</w:t>
      </w:r>
      <w:bookmarkEnd w:id="47"/>
    </w:p>
    <w:p>
      <w:pPr>
        <w:pStyle w:val="FirstParagraph"/>
      </w:pPr>
      <w: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w:t>
      </w:r>
    </w:p>
    <w:p>
      <w:pPr>
        <w:pStyle w:val="Heading2"/>
      </w:pPr>
      <w:bookmarkStart w:id="48" w:name="_c402fc6a47ec8bb5e751ab4b29e0fc7601a51bb"/>
      <w:r>
        <w:t xml:space="preserve">Related work</w:t>
      </w:r>
      <w:bookmarkEnd w:id="48"/>
    </w:p>
    <w:p>
      <w:pPr>
        <w:pStyle w:val="FirstParagraph"/>
      </w:pPr>
      <w:r>
        <w:t xml:space="preserve">Bontrager et al. (2016) are the closest prior attempt to predict agent success from game mechanics. Their features were exact by construction, read from the games’ rule files, and agreed poorly with controller performance, although a selection agent built on two of them beat its constituent controllers on the same games. The census measured its features from frames and failed at the step before prediction, the measurement itself.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BodyText"/>
      </w:pPr>
      <w:r>
        <w:t xml:space="preserve">The idea behind A1 and A2, finding from frames alone the part of the screen the actions control, comes from Bellemare et al. (2012) and Choi et al. (2019). A2 added a fixed, weight-free test that the controlled region moves by a consistent displacement per key. Under primitive MiniGrid actions that test depended on forward alone, as the exploratory diagnosis shows.</w:t>
      </w:r>
    </w:p>
    <w:p>
      <w:pPr>
        <w:pStyle w:val="BodyText"/>
      </w:pPr>
      <w:r>
        <w:t xml:space="preserve">The registered goal-identification cost G counted level ends until one goal hypothesis was left. Its elimination steps over places are the singletons-plus-empty example of Goldman and Kearns (1995), which they state in complement form, and its elimination over features is version-space elimination in the sense of Mitchell (1982). The protocol therefore cited them rather than proving anything new. Goal recognition design is related but different. Keren et al. (2014) bound the number of actions an optimal actor can take before an outside observer can tell its goal, and Wayllace et al. (2016) extend that measure to an expected cost under stochastic action outcomes. G instead concerns a learner’s own goal. G was withdrawn without being measured.</w:t>
      </w:r>
    </w:p>
    <w:p>
      <w:pPr>
        <w:pStyle w:val="BodyText"/>
      </w:pPr>
      <w:r>
        <w:t xml:space="preserve">Among agents for ARC-AGI-3, Rudakov et al. (2025) published the graph-based explorer used here as I1. Liew (2026) classifies the public games by the simplest strategy without reasoning that reaches a level. That classification concerns reachability rather than mechanics and makes no registered prediction. Skoutnev et al. (2026) identify goals with a coding agent built on a large pretrained model, which writes an executable world model of each game and so brings a learned prior; that places it outside the prior-free class for which G was defined. The two further suites are those of Chevalier-Boisvert et al. (2023), Chevalier-Boisvert et al. (2019) and Cobbe et al. (2020).</w:t>
      </w:r>
    </w:p>
    <w:p>
      <w:pPr>
        <w:pStyle w:val="Heading1"/>
      </w:pPr>
      <w:bookmarkStart w:id="49" w:name="_conclusion"/>
      <w:r>
        <w:t xml:space="preserve">Conclusion</w:t>
      </w:r>
      <w:bookmarkEnd w:id="49"/>
    </w:p>
    <w:p>
      <w:pPr>
        <w:pStyle w:val="FirstParagraph"/>
      </w:pPr>
      <w:r>
        <w:t xml:space="preserve">The Purpose section states the objective: a frame-only census, fitted on ARC-AGI-3, that would report the mechanics of unseen games at a registered accuracy and predict where assumption-driven agents complete the first level. The research failed against that objective in each of its registered respects. The instrument failed V1 on both confirmatory suites, for three or four of the five assumptions depending on the suite and condition. The prediction test V2 passed for no agent on any suite, and on MiniGrid/BabyAI a baseline built from the size and variety of the environments ranked them better than the census did. The registered consequence followed: a refutation, with no method article. What remains is the record of a test that worked as designed and an instrument that did not.</w:t>
      </w:r>
    </w:p>
    <w:p>
      <w:pPr>
        <w:pStyle w:val="Heading1"/>
      </w:pPr>
      <w:bookmarkStart w:id="50" w:name="_333578fc3e8634b78411490a6e2088ad81144c1"/>
      <w:r>
        <w:t xml:space="preserve">Data and code availability</w:t>
      </w:r>
      <w:bookmarkEnd w:id="50"/>
    </w:p>
    <w:p>
      <w:pPr>
        <w:pStyle w:val="FirstParagraph"/>
      </w:pPr>
      <w:r>
        <w:t xml:space="preserve">All data and code are public in the repository https://github.com/rahul-k-mishra/arc3-frame-only-study under the MIT license, which the journal lists as an acceptable open license for data and recommends for code. The data are the 10,500 confirmatory rows, 9,660 for MiniGrid/BabyAI and 840 for Procgen, one JSON file per suite, condition, agent, game and seed. They also include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and the three scripts that build and check this article’s numbers and figures. The exploratory diagnosis is runs/exploratory/v1_diagnosis.json, written by scripts/explore_v1_diagnosis.py at commit f43526a, and the ARC-AGI-3 split, with the move of dc22, is in docs/HELDOUT.md.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under embargo until 30 June 2030, and their registered texts are in the repository. The directory external/rudakov_just_explore, which holds the agent I1, is not covered by the repository’s license and keeps the upstream MIT notice of its own authors.</w:t>
      </w:r>
    </w:p>
    <w:p>
      <w:pPr>
        <w:pStyle w:val="BodyText"/>
      </w:pPr>
      <w:r>
        <w:t xml:space="preserve">A preprint of this article is on OSF Preprints under CC-BY 4.0: DOI [to be inserted]</w:t>
      </w:r>
    </w:p>
    <w:p>
      <w:pPr>
        <w:pStyle w:val="Heading1"/>
      </w:pPr>
      <w:bookmarkStart w:id="51" w:name="_funding"/>
      <w:r>
        <w:t xml:space="preserve">Funding</w:t>
      </w:r>
      <w:bookmarkEnd w:id="51"/>
    </w:p>
    <w:p>
      <w:pPr>
        <w:pStyle w:val="FirstParagraph"/>
      </w:pPr>
      <w:r>
        <w:t xml:space="preserve">This research received no funding.</w:t>
      </w:r>
    </w:p>
    <w:p>
      <w:pPr>
        <w:pStyle w:val="Heading1"/>
      </w:pPr>
      <w:bookmarkStart w:id="52" w:name="_ce73433e89afc27902f14cba7583f04156a1bb2"/>
      <w:r>
        <w:t xml:space="preserve">Conflicts of interest</w:t>
      </w:r>
      <w:bookmarkEnd w:id="52"/>
    </w:p>
    <w:p>
      <w:pPr>
        <w:pStyle w:val="FirstParagraph"/>
      </w:pPr>
      <w:r>
        <w:t xml:space="preserve">The author declares no conflicts of interest.</w:t>
      </w:r>
    </w:p>
    <w:p>
      <w:pPr>
        <w:pStyle w:val="Heading1"/>
      </w:pPr>
      <w:bookmarkStart w:id="53" w:name="_references"/>
      <w:r>
        <w:t xml:space="preserve">References</w:t>
      </w:r>
      <w:bookmarkEnd w:id="53"/>
    </w:p>
    <w:p>
      <w:pPr>
        <w:pStyle w:val="FirstParagraph"/>
      </w:pPr>
      <w:r>
        <w:t xml:space="preserve">Bellemare, M. G., Veness, J., &amp; Bowling, M. (2012). Investigating contingency awareness using Atari 2600 games.</w:t>
      </w:r>
      <w:r>
        <w:t xml:space="preserve"> </w:t>
      </w:r>
      <w:r>
        <w:rPr>
          <w:i/>
          <w:iCs/>
        </w:rPr>
        <w:t xml:space="preserve">Proceedings of the AAAI Conference on Artificial Intelligence</w:t>
      </w:r>
      <w:r>
        <w:t xml:space="preserve">,</w:t>
      </w:r>
      <w:r>
        <w:t xml:space="preserve"> </w:t>
      </w:r>
      <w:r>
        <w:rPr>
          <w:i/>
          <w:iCs/>
        </w:rPr>
        <w:t xml:space="preserve">26</w:t>
      </w:r>
      <w:r>
        <w:t xml:space="preserve">(1), 864–871. https://doi.org/10.1609/aaai.v26i1.8321</w:t>
      </w:r>
    </w:p>
    <w:p>
      <w:pPr>
        <w:pStyle w:val="BodyText"/>
      </w:pPr>
      <w:r>
        <w:t xml:space="preserve">Bertinetto, L., Henriques, J. F., Albanie, S., Paganini, M., &amp; Varol, G. (2021). Preface. In L. Bertinetto, J. F. Henriques, S. Albanie, M. Paganini, &amp; G. Varol (Eds.),</w:t>
      </w:r>
      <w:r>
        <w:t xml:space="preserve"> </w:t>
      </w:r>
      <w:r>
        <w:rPr>
          <w:i/>
          <w:iCs/>
        </w:rPr>
        <w:t xml:space="preserve">NeurIPS 2020 Workshop on Pre-registration in Machine Learning</w:t>
      </w:r>
      <w:r>
        <w:t xml:space="preserve"> </w:t>
      </w:r>
      <w:r>
        <w:t xml:space="preserve">(Proceedings of Machine Learning Research, Vol. 148, p. i). PMLR. https://proceedings.mlr.press/v148/bertinetto21a.html</w:t>
      </w:r>
    </w:p>
    <w:p>
      <w:pPr>
        <w:pStyle w:val="BodyText"/>
      </w:pPr>
      <w:r>
        <w:t xml:space="preserve">Blum, A., &amp; Hardt, M. (2015). The Ladder: A reliable leaderboard for machine learning competitions. In F. Bach &amp; D. Blei (Eds.),</w:t>
      </w:r>
      <w:r>
        <w:t xml:space="preserve"> </w:t>
      </w:r>
      <w:r>
        <w:rPr>
          <w:i/>
          <w:iCs/>
        </w:rPr>
        <w:t xml:space="preserve">Proceedings of the 32nd International Conference on Machine Learning</w:t>
      </w:r>
      <w:r>
        <w:t xml:space="preserve"> </w:t>
      </w:r>
      <w:r>
        <w:t xml:space="preserve">(Proceedings of Machine Learning Research, Vol. 37, pp. 1006–1014). PMLR. https://proceedings.mlr.press/v37/blum15.html</w:t>
      </w:r>
    </w:p>
    <w:p>
      <w:pPr>
        <w:pStyle w:val="BodyText"/>
      </w:pPr>
      <w:r>
        <w:t xml:space="preserve">Bontrager, P., Khalifa, A., Mendes, A., &amp; Togelius, J. (2016). Matching games and algorithms for general video game playing.</w:t>
      </w:r>
      <w:r>
        <w:t xml:space="preserve"> </w:t>
      </w:r>
      <w:r>
        <w:rPr>
          <w:i/>
          <w:iCs/>
        </w:rPr>
        <w:t xml:space="preserve">Proceedings of the AAAI Conference on Artificial Intelligence and Interactive Digital Entertainment</w:t>
      </w:r>
      <w:r>
        <w:t xml:space="preserve">,</w:t>
      </w:r>
      <w:r>
        <w:t xml:space="preserve"> </w:t>
      </w:r>
      <w:r>
        <w:rPr>
          <w:i/>
          <w:iCs/>
        </w:rPr>
        <w:t xml:space="preserve">12</w:t>
      </w:r>
      <w:r>
        <w:t xml:space="preserve">(1), 122–128. https://doi.org/10.1609/aiide.v12i1.12884</w:t>
      </w:r>
    </w:p>
    <w:p>
      <w:pPr>
        <w:pStyle w:val="BodyText"/>
      </w:pPr>
      <w:r>
        <w:t xml:space="preserve">Chevalier-Boisvert, M., Bahdanau, D., Lahlou, S., Willems, L., Saharia, C., Nguyen, T. H., &amp; Bengio, Y. (2019). BabyAI: A platform to study the sample efficiency of grounded language learning.</w:t>
      </w:r>
      <w:r>
        <w:t xml:space="preserve"> </w:t>
      </w:r>
      <w:r>
        <w:rPr>
          <w:i/>
          <w:iCs/>
        </w:rPr>
        <w:t xml:space="preserve">International Conference on Learning Representations</w:t>
      </w:r>
      <w:r>
        <w:t xml:space="preserve">. https://openreview.net/forum?id=rJeXCo0cYX</w:t>
      </w:r>
    </w:p>
    <w:p>
      <w:pPr>
        <w:pStyle w:val="BodyText"/>
      </w:pPr>
      <w:r>
        <w:t xml:space="preserve">Chevalier-Boisvert, M., Dai, B., Towers, M., Perez-Vicente, R., Willems, L., Lahlou, S., Pal, S., Castro, P. S., &amp; Terry, J. (2023). Minigrid &amp; Miniworld: Modular &amp; customizable reinforcement learning environments for goal-oriented tasks. In</w:t>
      </w:r>
      <w:r>
        <w:t xml:space="preserve"> </w:t>
      </w:r>
      <w:r>
        <w:rPr>
          <w:i/>
          <w:iCs/>
        </w:rPr>
        <w:t xml:space="preserve">Advances in Neural Information Processing Systems</w:t>
      </w:r>
      <w:r>
        <w:t xml:space="preserve"> </w:t>
      </w:r>
      <w:r>
        <w:t xml:space="preserve">(Vol. 36, pp. 73383–73394). https://doi.org/10.52202/075280-3209</w:t>
      </w:r>
    </w:p>
    <w:p>
      <w:pPr>
        <w:pStyle w:val="BodyText"/>
      </w:pPr>
      <w:r>
        <w:t xml:space="preserve">Choi, J., Guo, Y., Moczulski, M., Oh, J., Wu, N., Norouzi, M., &amp; Lee, H. (2019). Contingency-aware exploration in reinforcement learning.</w:t>
      </w:r>
      <w:r>
        <w:t xml:space="preserve"> </w:t>
      </w:r>
      <w:r>
        <w:rPr>
          <w:i/>
          <w:iCs/>
        </w:rPr>
        <w:t xml:space="preserve">International Conference on Learning Representations</w:t>
      </w:r>
      <w:r>
        <w:t xml:space="preserve">. https://openreview.net/forum?id=HyxGB2AcY7</w:t>
      </w:r>
    </w:p>
    <w:p>
      <w:pPr>
        <w:pStyle w:val="BodyText"/>
      </w:pPr>
      <w:r>
        <w:t xml:space="preserve">Cobbe, K., Hesse, C., Hilton, J., &amp; Schulman, J. (2020). Leveraging procedural generation to benchmark reinforcement learning. In H. Daumé III &amp; A. Singh (Eds.),</w:t>
      </w:r>
      <w:r>
        <w:t xml:space="preserve"> </w:t>
      </w:r>
      <w:r>
        <w:rPr>
          <w:i/>
          <w:iCs/>
        </w:rPr>
        <w:t xml:space="preserve">Proceedings of the 37th International Conference on Machine Learning</w:t>
      </w:r>
      <w:r>
        <w:t xml:space="preserve"> </w:t>
      </w:r>
      <w:r>
        <w:t xml:space="preserve">(Proceedings of Machine Learning Research, Vol. 119, pp. 2048–2056). PMLR. https://proceedings.mlr.press/v119/cobbe20a.html</w:t>
      </w:r>
    </w:p>
    <w:p>
      <w:pPr>
        <w:pStyle w:val="BodyText"/>
      </w:pPr>
      <w:r>
        <w:t xml:space="preserve">Gaina, R. D., Lucas, S. M., &amp; Perez-Liebana, D. (2018). General win prediction from agent experience. In</w:t>
      </w:r>
      <w:r>
        <w:t xml:space="preserve"> </w:t>
      </w:r>
      <w:r>
        <w:rPr>
          <w:i/>
          <w:iCs/>
        </w:rPr>
        <w:t xml:space="preserve">2018 IEEE Conference on Computational Intelligence and Games (CIG)</w:t>
      </w:r>
      <w:r>
        <w:t xml:space="preserve"> </w:t>
      </w:r>
      <w:r>
        <w:t xml:space="preserve">(pp. 1–8). https://doi.org/10.1109/CIG.2018.8490439</w:t>
      </w:r>
    </w:p>
    <w:p>
      <w:pPr>
        <w:pStyle w:val="BodyText"/>
      </w:pPr>
      <w:r>
        <w:t xml:space="preserve">Goldman, S. A., &amp; Kearns, M. J. (1995). On the complexity of teaching.</w:t>
      </w:r>
      <w:r>
        <w:t xml:space="preserve"> </w:t>
      </w:r>
      <w:r>
        <w:rPr>
          <w:i/>
          <w:iCs/>
        </w:rPr>
        <w:t xml:space="preserve">Journal of Computer and System Sciences</w:t>
      </w:r>
      <w:r>
        <w:t xml:space="preserve">,</w:t>
      </w:r>
      <w:r>
        <w:t xml:space="preserve"> </w:t>
      </w:r>
      <w:r>
        <w:rPr>
          <w:i/>
          <w:iCs/>
        </w:rPr>
        <w:t xml:space="preserve">50</w:t>
      </w:r>
      <w:r>
        <w:t xml:space="preserve">(1), 20–31. https://doi.org/10.1006/jcss.1995.1003</w:t>
      </w:r>
    </w:p>
    <w:p>
      <w:pPr>
        <w:pStyle w:val="BodyText"/>
      </w:pPr>
      <w:r>
        <w:t xml:space="preserve">Keren, S., Gal, A., &amp; Karpas, E. (2014). Goal recognition design.</w:t>
      </w:r>
      <w:r>
        <w:t xml:space="preserve"> </w:t>
      </w:r>
      <w:r>
        <w:rPr>
          <w:i/>
          <w:iCs/>
        </w:rPr>
        <w:t xml:space="preserve">Proceedings of the International Conference on Automated Planning and Scheduling</w:t>
      </w:r>
      <w:r>
        <w:t xml:space="preserve">,</w:t>
      </w:r>
      <w:r>
        <w:t xml:space="preserve"> </w:t>
      </w:r>
      <w:r>
        <w:rPr>
          <w:i/>
          <w:iCs/>
        </w:rPr>
        <w:t xml:space="preserve">24</w:t>
      </w:r>
      <w:r>
        <w:t xml:space="preserve">(1), 154–162. https://doi.org/10.1609/icaps.v24i1.13617</w:t>
      </w:r>
    </w:p>
    <w:p>
      <w:pPr>
        <w:pStyle w:val="BodyText"/>
      </w:pPr>
      <w:r>
        <w:t xml:space="preserve">Laidlaw, C., Russell, S. J., &amp; Dragan, A. (2023). Bridging RL theory and practice with the effective horizon. In</w:t>
      </w:r>
      <w:r>
        <w:t xml:space="preserve"> </w:t>
      </w:r>
      <w:r>
        <w:rPr>
          <w:i/>
          <w:iCs/>
        </w:rPr>
        <w:t xml:space="preserve">Advances in Neural Information Processing Systems</w:t>
      </w:r>
      <w:r>
        <w:t xml:space="preserve"> </w:t>
      </w:r>
      <w:r>
        <w:t xml:space="preserve">(Vol. 36, pp. 58953–59007). https://doi.org/10.52202/075280-2573</w:t>
      </w:r>
    </w:p>
    <w:p>
      <w:pPr>
        <w:pStyle w:val="BodyText"/>
      </w:pPr>
      <w:r>
        <w:t xml:space="preserve">Liew, K. H. (2026).</w:t>
      </w:r>
      <w:r>
        <w:t xml:space="preserve"> </w:t>
      </w:r>
      <w:r>
        <w:rPr>
          <w:i/>
          <w:iCs/>
        </w:rPr>
        <w:t xml:space="preserve">Explore before you solve: The speed–depth trade-off in epistemic agents for ARC-AGI-3</w:t>
      </w:r>
      <w:r>
        <w:t xml:space="preserve"> </w:t>
      </w:r>
      <w:r>
        <w:t xml:space="preserve">[Preprint]. arXiv. https://arxiv.org/abs/2605.25931</w:t>
      </w:r>
    </w:p>
    <w:p>
      <w:pPr>
        <w:pStyle w:val="BodyText"/>
      </w:pPr>
      <w:r>
        <w:t xml:space="preserve">Mitchell, T. M. (1982). Generalization as search.</w:t>
      </w:r>
      <w:r>
        <w:t xml:space="preserve"> </w:t>
      </w:r>
      <w:r>
        <w:rPr>
          <w:i/>
          <w:iCs/>
        </w:rPr>
        <w:t xml:space="preserve">Artificial Intelligence</w:t>
      </w:r>
      <w:r>
        <w:t xml:space="preserve">,</w:t>
      </w:r>
      <w:r>
        <w:t xml:space="preserve"> </w:t>
      </w:r>
      <w:r>
        <w:rPr>
          <w:i/>
          <w:iCs/>
        </w:rPr>
        <w:t xml:space="preserve">18</w:t>
      </w:r>
      <w:r>
        <w:t xml:space="preserve">(2), 203–226. https://doi.org/10.1016/0004-3702(82)90040-6</w:t>
      </w:r>
    </w:p>
    <w:p>
      <w:pPr>
        <w:pStyle w:val="BodyText"/>
      </w:pPr>
      <w:r>
        <w:t xml:space="preserve">Roelofs, R., Shankar, V., Recht, B., Fridovich-Keil, S., Hardt, M., Miller, J., &amp; Schmidt, L. (2019). A meta-analysis of overfitting in machine learning. In</w:t>
      </w:r>
      <w:r>
        <w:t xml:space="preserve"> </w:t>
      </w:r>
      <w:r>
        <w:rPr>
          <w:i/>
          <w:iCs/>
        </w:rPr>
        <w:t xml:space="preserve">Advances in Neural Information Processing Systems</w:t>
      </w:r>
      <w:r>
        <w:t xml:space="preserve"> </w:t>
      </w:r>
      <w:r>
        <w:t xml:space="preserve">(Vol. 32). https://papers.nips.cc/paper_files/paper/2019/hash/ee39e503b6bedf0c98c388b7e8589aca-Abstract.html</w:t>
      </w:r>
    </w:p>
    <w:p>
      <w:pPr>
        <w:pStyle w:val="BodyText"/>
      </w:pPr>
      <w:r>
        <w:t xml:space="preserve">Rudakov, E., Shock, J., &amp; Cowley, B. U. (2025).</w:t>
      </w:r>
      <w:r>
        <w:t xml:space="preserve"> </w:t>
      </w:r>
      <w:r>
        <w:rPr>
          <w:i/>
          <w:iCs/>
        </w:rPr>
        <w:t xml:space="preserve">Graph-based exploration for ARC-AGI-3 interactive reasoning tasks</w:t>
      </w:r>
      <w:r>
        <w:t xml:space="preserve"> </w:t>
      </w:r>
      <w:r>
        <w:t xml:space="preserve">[Preprint]. arXiv. https://arxiv.org/abs/2512.24156</w:t>
      </w:r>
    </w:p>
    <w:p>
      <w:pPr>
        <w:pStyle w:val="BodyText"/>
      </w:pPr>
      <w:r>
        <w:t xml:space="preserve">Skoutnev, A., Acharya, K., Longhitano, G., Udell, M., Ellis, K., &amp; Drori, I. (2026).</w:t>
      </w:r>
      <w:r>
        <w:t xml:space="preserve"> </w:t>
      </w:r>
      <w:r>
        <w:rPr>
          <w:i/>
          <w:iCs/>
        </w:rPr>
        <w:t xml:space="preserve">Twin: Playing an unknown game with a test-time digital twin</w:t>
      </w:r>
      <w:r>
        <w:t xml:space="preserve"> </w:t>
      </w:r>
      <w:r>
        <w:t xml:space="preserve">[Preprint]. arXiv. https://arxiv.org/abs/2608.14490</w:t>
      </w:r>
    </w:p>
    <w:p>
      <w:pPr>
        <w:pStyle w:val="BodyText"/>
      </w:pPr>
      <w:r>
        <w:t xml:space="preserve">Wayllace, C., Hou, P., Yeoh, W., &amp; Son, T. C. (2016). Goal recognition design with stochastic agent action outcomes. In</w:t>
      </w:r>
      <w:r>
        <w:t xml:space="preserve"> </w:t>
      </w:r>
      <w:r>
        <w:rPr>
          <w:i/>
          <w:iCs/>
        </w:rPr>
        <w:t xml:space="preserve">Proceedings of the Twenty-Fifth International Joint Conference on Artificial Intelligence (IJCAI-16)</w:t>
      </w:r>
      <w:r>
        <w:t xml:space="preserve"> </w:t>
      </w:r>
      <w:r>
        <w:t xml:space="preserve">(pp. 3279–3285). https://www.ijcai.org/Proceedings/16/Papers/464.pdf</w:t>
      </w:r>
    </w:p>
    <w:p>
      <w:pPr>
        <w:pStyle w:val="Heading1"/>
      </w:pPr>
      <w:bookmarkStart w:id="54" w:name="_95c780b8be1a057b9f68fe7ca9e5fcf93cddfe5"/>
      <w:r>
        <w:t xml:space="preserve">Appendix A. The amendment trail, D1 to D16</w:t>
      </w:r>
      <w:bookmarkEnd w:id="54"/>
    </w:p>
    <w:p>
      <w:pPr>
        <w:pStyle w:val="FirstParagraph"/>
      </w:pPr>
      <w: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t xml:space="preserve">D3, the Procgen border rows. The 64 × 64 Procgen frame fills the canvas, so the frozen code does not see its top and bottom pixel rows. This is recorded and not corrected.</w:t>
      </w:r>
    </w:p>
    <w:p>
      <w:pPr>
        <w:pStyle w:val="BodyText"/>
      </w:pPr>
      <w: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t xml:space="preserve">D6, the runner. One registered script runs both suites, calls the author’s agents exactly as the ARC-AGI-3 runner does, refuses to run if any frozen file differs from its registered hash, and writes one row per run.</w:t>
      </w:r>
    </w:p>
    <w:p>
      <w:pPr>
        <w:pStyle w:val="BodyText"/>
      </w:pPr>
      <w: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t xml:space="preserve">D10, seeding text. The v1 seeding text for MiniGrid/BabyAI is replaced by D4, and the runner’s commands are added.</w:t>
      </w:r>
    </w:p>
    <w:p>
      <w:pPr>
        <w:pStyle w:val="BodyText"/>
      </w:pPr>
      <w:r>
        <w:t xml:space="preserve">D11, the analysis code. The blob hashes of the analysis scripts at the tag are recorded; the scripts changed only to implement D9, D9b and D13. The synthetic tests passed, 20 of 20.</w:t>
      </w:r>
    </w:p>
    <w:p>
      <w:pPr>
        <w:pStyle w:val="BodyText"/>
      </w:pPr>
      <w: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t xml:space="preserve">D14, no adapter change after the pilot. The pilot showed no errors, no cut runs and the expected identity between conditions, and no adapter was changed.</w:t>
      </w:r>
    </w:p>
    <w:p>
      <w:pPr>
        <w:pStyle w:val="BodyText"/>
      </w:pPr>
      <w: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t xml:space="preserve">D16, G is not measured. The replay of D15 is withdrawn after the outcome, because the instrument that G would accompany failed V1 on both suites. G remains defined in the protocol, and no value of it is reported.</w:t>
      </w:r>
    </w:p>
    <w:p>
      <w:pPr>
        <w:pStyle w:val="Heading1"/>
      </w:pPr>
      <w:bookmarkStart w:id="55" w:name="_8c3a7b356ad2b7dcc559f78e0defcc6f1ee0d95"/>
      <w:r>
        <w:t xml:space="preserve">Appendix B. The exclusion lists</w:t>
      </w:r>
      <w:bookmarkEnd w:id="55"/>
    </w:p>
    <w:p>
      <w:pPr>
        <w:pStyle w:val="FirstParagraph"/>
      </w:pPr>
      <w:r>
        <w:t xml:space="preserve">These lists are the registered constants in scripts/analyze_common.py at prereg-v1.1. The source reason for each identifier is given in the protocol under D9 and D9b.</w:t>
      </w:r>
    </w:p>
    <w:p>
      <w:pPr>
        <w:pStyle w:val="BodyText"/>
      </w:pPr>
      <w:r>
        <w:t xml:space="preserve">B1. No success at all (1 environment; on every agent’s list in both conditions):</w:t>
      </w:r>
    </w:p>
    <w:p>
      <w:pPr>
        <w:pStyle w:val="Compact"/>
        <w:numPr>
          <w:ilvl w:val="0"/>
          <w:numId w:val="1001"/>
        </w:numPr>
      </w:pPr>
      <w:r>
        <w:t xml:space="preserve">MiniGrid-Playground-v0</w:t>
      </w:r>
    </w:p>
    <w:p>
      <w:pPr>
        <w:pStyle w:val="FirstParagraph"/>
      </w:pPr>
      <w:r>
        <w:t xml:space="preserve">B2. Success needs</w:t>
      </w:r>
      <w:r>
        <w:t xml:space="preserve"> </w:t>
      </w:r>
      <w:r>
        <w:t xml:space="preserve">“done”</w:t>
      </w:r>
      <w:r>
        <w:t xml:space="preserve"> </w:t>
      </w:r>
      <w:r>
        <w:t xml:space="preserve">(5; on every list in both conditions;</w:t>
      </w:r>
      <w:r>
        <w:t xml:space="preserve"> </w:t>
      </w:r>
      <w:r>
        <w:t xml:space="preserve">“done”</w:t>
      </w:r>
      <w:r>
        <w:t xml:space="preserve"> </w:t>
      </w:r>
      <w:r>
        <w:t xml:space="preserve">is in no key map):</w:t>
      </w:r>
    </w:p>
    <w:p>
      <w:pPr>
        <w:pStyle w:val="Compact"/>
        <w:numPr>
          <w:ilvl w:val="0"/>
          <w:numId w:val="1002"/>
        </w:numPr>
      </w:pPr>
      <w:r>
        <w:t xml:space="preserve">MiniGrid-GoToDoor-5x5-v0</w:t>
      </w:r>
    </w:p>
    <w:p>
      <w:pPr>
        <w:pStyle w:val="Compact"/>
        <w:numPr>
          <w:ilvl w:val="0"/>
          <w:numId w:val="1002"/>
        </w:numPr>
      </w:pPr>
      <w:r>
        <w:t xml:space="preserve">MiniGrid-GoToDoor-6x6-v0</w:t>
      </w:r>
    </w:p>
    <w:p>
      <w:pPr>
        <w:pStyle w:val="Compact"/>
        <w:numPr>
          <w:ilvl w:val="0"/>
          <w:numId w:val="1002"/>
        </w:numPr>
      </w:pPr>
      <w:r>
        <w:t xml:space="preserve">MiniGrid-GoToDoor-8x8-v0</w:t>
      </w:r>
    </w:p>
    <w:p>
      <w:pPr>
        <w:pStyle w:val="Compact"/>
        <w:numPr>
          <w:ilvl w:val="0"/>
          <w:numId w:val="1002"/>
        </w:numPr>
      </w:pPr>
      <w:r>
        <w:t xml:space="preserve">MiniGrid-GoToObject-6x6-N2-v0</w:t>
      </w:r>
    </w:p>
    <w:p>
      <w:pPr>
        <w:pStyle w:val="Compact"/>
        <w:numPr>
          <w:ilvl w:val="0"/>
          <w:numId w:val="1002"/>
        </w:numPr>
      </w:pPr>
      <w:r>
        <w:t xml:space="preserve">MiniGrid-GoToObject-8x8-N2-v0</w:t>
      </w:r>
    </w:p>
    <w:p>
      <w:pPr>
        <w:pStyle w:val="FirstParagraph"/>
      </w:pPr>
      <w:r>
        <w:t xml:space="preserve">B3. Success is a drop (15; on the absolute-move lists of every agent):</w:t>
      </w:r>
    </w:p>
    <w:p>
      <w:pPr>
        <w:pStyle w:val="Compact"/>
        <w:numPr>
          <w:ilvl w:val="0"/>
          <w:numId w:val="1003"/>
        </w:numPr>
      </w:pPr>
      <w:r>
        <w:t xml:space="preserve">MiniGrid-PutNear-6x6-N2-v0</w:t>
      </w:r>
    </w:p>
    <w:p>
      <w:pPr>
        <w:pStyle w:val="Compact"/>
        <w:numPr>
          <w:ilvl w:val="0"/>
          <w:numId w:val="1003"/>
        </w:numPr>
      </w:pPr>
      <w:r>
        <w:t xml:space="preserve">MiniGrid-PutNear-8x8-N3-v0</w:t>
      </w:r>
    </w:p>
    <w:p>
      <w:pPr>
        <w:pStyle w:val="Compact"/>
        <w:numPr>
          <w:ilvl w:val="0"/>
          <w:numId w:val="1003"/>
        </w:numPr>
      </w:pPr>
      <w:r>
        <w:t xml:space="preserve">BabyAI-PutNextLocal-v0</w:t>
      </w:r>
    </w:p>
    <w:p>
      <w:pPr>
        <w:pStyle w:val="Compact"/>
        <w:numPr>
          <w:ilvl w:val="0"/>
          <w:numId w:val="1003"/>
        </w:numPr>
      </w:pPr>
      <w:r>
        <w:t xml:space="preserve">BabyAI-PutNextLocalS5N3-v0</w:t>
      </w:r>
    </w:p>
    <w:p>
      <w:pPr>
        <w:pStyle w:val="Compact"/>
        <w:numPr>
          <w:ilvl w:val="0"/>
          <w:numId w:val="1003"/>
        </w:numPr>
      </w:pPr>
      <w:r>
        <w:t xml:space="preserve">BabyAI-PutNextLocalS6N4-v0</w:t>
      </w:r>
    </w:p>
    <w:p>
      <w:pPr>
        <w:pStyle w:val="Compact"/>
        <w:numPr>
          <w:ilvl w:val="0"/>
          <w:numId w:val="1003"/>
        </w:numPr>
      </w:pPr>
      <w:r>
        <w:t xml:space="preserve">BabyAI-PutNextS4N1-v0</w:t>
      </w:r>
    </w:p>
    <w:p>
      <w:pPr>
        <w:pStyle w:val="Compact"/>
        <w:numPr>
          <w:ilvl w:val="0"/>
          <w:numId w:val="1003"/>
        </w:numPr>
      </w:pPr>
      <w:r>
        <w:t xml:space="preserve">BabyAI-PutNextS5N1-v0</w:t>
      </w:r>
    </w:p>
    <w:p>
      <w:pPr>
        <w:pStyle w:val="Compact"/>
        <w:numPr>
          <w:ilvl w:val="0"/>
          <w:numId w:val="1003"/>
        </w:numPr>
      </w:pPr>
      <w:r>
        <w:t xml:space="preserve">BabyAI-PutNextS5N2-v0</w:t>
      </w:r>
    </w:p>
    <w:p>
      <w:pPr>
        <w:pStyle w:val="Compact"/>
        <w:numPr>
          <w:ilvl w:val="0"/>
          <w:numId w:val="1003"/>
        </w:numPr>
      </w:pPr>
      <w:r>
        <w:t xml:space="preserve">BabyAI-PutNextS5N2Carrying-v0</w:t>
      </w:r>
    </w:p>
    <w:p>
      <w:pPr>
        <w:pStyle w:val="Compact"/>
        <w:numPr>
          <w:ilvl w:val="0"/>
          <w:numId w:val="1003"/>
        </w:numPr>
      </w:pPr>
      <w:r>
        <w:t xml:space="preserve">BabyAI-PutNextS6N3-v0</w:t>
      </w:r>
    </w:p>
    <w:p>
      <w:pPr>
        <w:pStyle w:val="Compact"/>
        <w:numPr>
          <w:ilvl w:val="0"/>
          <w:numId w:val="1003"/>
        </w:numPr>
      </w:pPr>
      <w:r>
        <w:t xml:space="preserve">BabyAI-PutNextS6N3Carrying-v0</w:t>
      </w:r>
    </w:p>
    <w:p>
      <w:pPr>
        <w:pStyle w:val="Compact"/>
        <w:numPr>
          <w:ilvl w:val="0"/>
          <w:numId w:val="1003"/>
        </w:numPr>
      </w:pPr>
      <w:r>
        <w:t xml:space="preserve">BabyAI-PutNextS7N4-v0</w:t>
      </w:r>
    </w:p>
    <w:p>
      <w:pPr>
        <w:pStyle w:val="Compact"/>
        <w:numPr>
          <w:ilvl w:val="0"/>
          <w:numId w:val="1003"/>
        </w:numPr>
      </w:pPr>
      <w:r>
        <w:t xml:space="preserve">BabyAI-PutNextS7N4Carrying-v0</w:t>
      </w:r>
    </w:p>
    <w:p>
      <w:pPr>
        <w:pStyle w:val="Compact"/>
        <w:numPr>
          <w:ilvl w:val="0"/>
          <w:numId w:val="1003"/>
        </w:numPr>
      </w:pPr>
      <w:r>
        <w:t xml:space="preserve">BabyAI-MoveTwoAcrossS5N2-v0</w:t>
      </w:r>
    </w:p>
    <w:p>
      <w:pPr>
        <w:pStyle w:val="Compact"/>
        <w:numPr>
          <w:ilvl w:val="0"/>
          <w:numId w:val="1003"/>
        </w:numPr>
      </w:pPr>
      <w:r>
        <w:t xml:space="preserve">BabyAI-MoveTwoAcrossS8N9-v0</w:t>
      </w:r>
    </w:p>
    <w:p>
      <w:pPr>
        <w:pStyle w:val="FirstParagraph"/>
      </w:pPr>
      <w:r>
        <w:t xml:space="preserve">B4. A drop is a precondition (28; on the absolute-move lists of every agent, and on I1’s lists in both conditions as toggle preconditions):</w:t>
      </w:r>
    </w:p>
    <w:p>
      <w:pPr>
        <w:pStyle w:val="Compact"/>
        <w:numPr>
          <w:ilvl w:val="0"/>
          <w:numId w:val="1004"/>
        </w:numPr>
      </w:pPr>
      <w:r>
        <w:t xml:space="preserve">MiniGrid-KeyCorridorS3R1-v0</w:t>
      </w:r>
    </w:p>
    <w:p>
      <w:pPr>
        <w:pStyle w:val="Compact"/>
        <w:numPr>
          <w:ilvl w:val="0"/>
          <w:numId w:val="1004"/>
        </w:numPr>
      </w:pPr>
      <w:r>
        <w:t xml:space="preserve">MiniGrid-KeyCorridorS3R2-v0</w:t>
      </w:r>
    </w:p>
    <w:p>
      <w:pPr>
        <w:pStyle w:val="Compact"/>
        <w:numPr>
          <w:ilvl w:val="0"/>
          <w:numId w:val="1004"/>
        </w:numPr>
      </w:pPr>
      <w:r>
        <w:t xml:space="preserve">MiniGrid-KeyCorridorS3R3-v0</w:t>
      </w:r>
    </w:p>
    <w:p>
      <w:pPr>
        <w:pStyle w:val="Compact"/>
        <w:numPr>
          <w:ilvl w:val="0"/>
          <w:numId w:val="1004"/>
        </w:numPr>
      </w:pPr>
      <w:r>
        <w:t xml:space="preserve">MiniGrid-KeyCorridorS4R3-v0</w:t>
      </w:r>
    </w:p>
    <w:p>
      <w:pPr>
        <w:pStyle w:val="Compact"/>
        <w:numPr>
          <w:ilvl w:val="0"/>
          <w:numId w:val="1004"/>
        </w:numPr>
      </w:pPr>
      <w:r>
        <w:t xml:space="preserve">MiniGrid-KeyCorridorS5R3-v0</w:t>
      </w:r>
    </w:p>
    <w:p>
      <w:pPr>
        <w:pStyle w:val="Compact"/>
        <w:numPr>
          <w:ilvl w:val="0"/>
          <w:numId w:val="1004"/>
        </w:numPr>
      </w:pPr>
      <w:r>
        <w:t xml:space="preserve">MiniGrid-KeyCorridorS6R3-v0</w:t>
      </w:r>
    </w:p>
    <w:p>
      <w:pPr>
        <w:pStyle w:val="Compact"/>
        <w:numPr>
          <w:ilvl w:val="0"/>
          <w:numId w:val="1004"/>
        </w:numPr>
      </w:pPr>
      <w:r>
        <w:t xml:space="preserve">MiniGrid-UnlockPickup-v0</w:t>
      </w:r>
    </w:p>
    <w:p>
      <w:pPr>
        <w:pStyle w:val="Compact"/>
        <w:numPr>
          <w:ilvl w:val="0"/>
          <w:numId w:val="1004"/>
        </w:numPr>
      </w:pPr>
      <w:r>
        <w:t xml:space="preserve">MiniGrid-BlockedUnlockPickup-v0</w:t>
      </w:r>
    </w:p>
    <w:p>
      <w:pPr>
        <w:pStyle w:val="Compact"/>
        <w:numPr>
          <w:ilvl w:val="0"/>
          <w:numId w:val="1004"/>
        </w:numPr>
      </w:pPr>
      <w:r>
        <w:t xml:space="preserve">MiniGrid-ObstructedMaze-1Dl-v0</w:t>
      </w:r>
    </w:p>
    <w:p>
      <w:pPr>
        <w:pStyle w:val="Compact"/>
        <w:numPr>
          <w:ilvl w:val="0"/>
          <w:numId w:val="1004"/>
        </w:numPr>
      </w:pPr>
      <w:r>
        <w:t xml:space="preserve">MiniGrid-ObstructedMaze-1Dlh-v0</w:t>
      </w:r>
    </w:p>
    <w:p>
      <w:pPr>
        <w:pStyle w:val="Compact"/>
        <w:numPr>
          <w:ilvl w:val="0"/>
          <w:numId w:val="1004"/>
        </w:numPr>
      </w:pPr>
      <w:r>
        <w:t xml:space="preserve">MiniGrid-ObstructedMaze-1Dlhb-v0</w:t>
      </w:r>
    </w:p>
    <w:p>
      <w:pPr>
        <w:pStyle w:val="Compact"/>
        <w:numPr>
          <w:ilvl w:val="0"/>
          <w:numId w:val="1004"/>
        </w:numPr>
      </w:pPr>
      <w:r>
        <w:t xml:space="preserve">MiniGrid-ObstructedMaze-1Q-v1</w:t>
      </w:r>
    </w:p>
    <w:p>
      <w:pPr>
        <w:pStyle w:val="Compact"/>
        <w:numPr>
          <w:ilvl w:val="0"/>
          <w:numId w:val="1004"/>
        </w:numPr>
      </w:pPr>
      <w:r>
        <w:t xml:space="preserve">MiniGrid-ObstructedMaze-2Dl-v0</w:t>
      </w:r>
    </w:p>
    <w:p>
      <w:pPr>
        <w:pStyle w:val="Compact"/>
        <w:numPr>
          <w:ilvl w:val="0"/>
          <w:numId w:val="1004"/>
        </w:numPr>
      </w:pPr>
      <w:r>
        <w:t xml:space="preserve">MiniGrid-ObstructedMaze-2Dlh-v0</w:t>
      </w:r>
    </w:p>
    <w:p>
      <w:pPr>
        <w:pStyle w:val="Compact"/>
        <w:numPr>
          <w:ilvl w:val="0"/>
          <w:numId w:val="1004"/>
        </w:numPr>
      </w:pPr>
      <w:r>
        <w:t xml:space="preserve">MiniGrid-ObstructedMaze-2Dlhb-v1</w:t>
      </w:r>
    </w:p>
    <w:p>
      <w:pPr>
        <w:pStyle w:val="Compact"/>
        <w:numPr>
          <w:ilvl w:val="0"/>
          <w:numId w:val="1004"/>
        </w:numPr>
      </w:pPr>
      <w:r>
        <w:t xml:space="preserve">MiniGrid-ObstructedMaze-2Q-v1</w:t>
      </w:r>
    </w:p>
    <w:p>
      <w:pPr>
        <w:pStyle w:val="Compact"/>
        <w:numPr>
          <w:ilvl w:val="0"/>
          <w:numId w:val="1004"/>
        </w:numPr>
      </w:pPr>
      <w:r>
        <w:t xml:space="preserve">MiniGrid-ObstructedMaze-Full-v1</w:t>
      </w:r>
    </w:p>
    <w:p>
      <w:pPr>
        <w:pStyle w:val="Compact"/>
        <w:numPr>
          <w:ilvl w:val="0"/>
          <w:numId w:val="1004"/>
        </w:numPr>
      </w:pPr>
      <w:r>
        <w:t xml:space="preserve">BabyAI-KeyCorridor-v0</w:t>
      </w:r>
    </w:p>
    <w:p>
      <w:pPr>
        <w:pStyle w:val="Compact"/>
        <w:numPr>
          <w:ilvl w:val="0"/>
          <w:numId w:val="1004"/>
        </w:numPr>
      </w:pPr>
      <w:r>
        <w:t xml:space="preserve">BabyAI-KeyCorridorS3R1-v0</w:t>
      </w:r>
    </w:p>
    <w:p>
      <w:pPr>
        <w:pStyle w:val="Compact"/>
        <w:numPr>
          <w:ilvl w:val="0"/>
          <w:numId w:val="1004"/>
        </w:numPr>
      </w:pPr>
      <w:r>
        <w:t xml:space="preserve">BabyAI-KeyCorridorS3R2-v0</w:t>
      </w:r>
    </w:p>
    <w:p>
      <w:pPr>
        <w:pStyle w:val="Compact"/>
        <w:numPr>
          <w:ilvl w:val="0"/>
          <w:numId w:val="1004"/>
        </w:numPr>
      </w:pPr>
      <w:r>
        <w:t xml:space="preserve">BabyAI-KeyCorridorS3R3-v0</w:t>
      </w:r>
    </w:p>
    <w:p>
      <w:pPr>
        <w:pStyle w:val="Compact"/>
        <w:numPr>
          <w:ilvl w:val="0"/>
          <w:numId w:val="1004"/>
        </w:numPr>
      </w:pPr>
      <w:r>
        <w:t xml:space="preserve">BabyAI-KeyCorridorS4R3-v0</w:t>
      </w:r>
    </w:p>
    <w:p>
      <w:pPr>
        <w:pStyle w:val="Compact"/>
        <w:numPr>
          <w:ilvl w:val="0"/>
          <w:numId w:val="1004"/>
        </w:numPr>
      </w:pPr>
      <w:r>
        <w:t xml:space="preserve">BabyAI-KeyCorridorS5R3-v0</w:t>
      </w:r>
    </w:p>
    <w:p>
      <w:pPr>
        <w:pStyle w:val="Compact"/>
        <w:numPr>
          <w:ilvl w:val="0"/>
          <w:numId w:val="1004"/>
        </w:numPr>
      </w:pPr>
      <w:r>
        <w:t xml:space="preserve">BabyAI-KeyCorridorS6R3-v0</w:t>
      </w:r>
    </w:p>
    <w:p>
      <w:pPr>
        <w:pStyle w:val="Compact"/>
        <w:numPr>
          <w:ilvl w:val="0"/>
          <w:numId w:val="1004"/>
        </w:numPr>
      </w:pPr>
      <w:r>
        <w:t xml:space="preserve">BabyAI-UnlockPickup-v0</w:t>
      </w:r>
    </w:p>
    <w:p>
      <w:pPr>
        <w:pStyle w:val="Compact"/>
        <w:numPr>
          <w:ilvl w:val="0"/>
          <w:numId w:val="1004"/>
        </w:numPr>
      </w:pPr>
      <w:r>
        <w:t xml:space="preserve">BabyAI-UnlockPickupDist-v0</w:t>
      </w:r>
    </w:p>
    <w:p>
      <w:pPr>
        <w:pStyle w:val="Compact"/>
        <w:numPr>
          <w:ilvl w:val="0"/>
          <w:numId w:val="1004"/>
        </w:numPr>
      </w:pPr>
      <w:r>
        <w:t xml:space="preserve">BabyAI-BlockedUnlockPickup-v0</w:t>
      </w:r>
    </w:p>
    <w:p>
      <w:pPr>
        <w:pStyle w:val="Compact"/>
        <w:numPr>
          <w:ilvl w:val="0"/>
          <w:numId w:val="1004"/>
        </w:numPr>
      </w:pPr>
      <w:r>
        <w:t xml:space="preserve">BabyAI-UnlockToUnlock-v0</w:t>
      </w:r>
    </w:p>
    <w:p>
      <w:pPr>
        <w:pStyle w:val="FirstParagraph"/>
      </w:pPr>
      <w:r>
        <w:t xml:space="preserve">B5. Success is a toggle (20; on I1’s lists in both conditions):</w:t>
      </w:r>
    </w:p>
    <w:p>
      <w:pPr>
        <w:pStyle w:val="Compact"/>
        <w:numPr>
          <w:ilvl w:val="0"/>
          <w:numId w:val="1005"/>
        </w:numPr>
      </w:pPr>
      <w:r>
        <w:t xml:space="preserve">MiniGrid-Unlock-v0</w:t>
      </w:r>
    </w:p>
    <w:p>
      <w:pPr>
        <w:pStyle w:val="Compact"/>
        <w:numPr>
          <w:ilvl w:val="0"/>
          <w:numId w:val="1005"/>
        </w:numPr>
      </w:pPr>
      <w:r>
        <w:t xml:space="preserve">MiniGrid-RedBlueDoors-6x6-v0</w:t>
      </w:r>
    </w:p>
    <w:p>
      <w:pPr>
        <w:pStyle w:val="Compact"/>
        <w:numPr>
          <w:ilvl w:val="0"/>
          <w:numId w:val="1005"/>
        </w:numPr>
      </w:pPr>
      <w:r>
        <w:t xml:space="preserve">MiniGrid-RedBlueDoors-8x8-v0</w:t>
      </w:r>
    </w:p>
    <w:p>
      <w:pPr>
        <w:pStyle w:val="Compact"/>
        <w:numPr>
          <w:ilvl w:val="0"/>
          <w:numId w:val="1005"/>
        </w:numPr>
      </w:pPr>
      <w:r>
        <w:t xml:space="preserve">BabyAI-Open-v0</w:t>
      </w:r>
    </w:p>
    <w:p>
      <w:pPr>
        <w:pStyle w:val="Compact"/>
        <w:numPr>
          <w:ilvl w:val="0"/>
          <w:numId w:val="1005"/>
        </w:numPr>
      </w:pPr>
      <w:r>
        <w:t xml:space="preserve">BabyAI-OpenDoor-v0</w:t>
      </w:r>
    </w:p>
    <w:p>
      <w:pPr>
        <w:pStyle w:val="Compact"/>
        <w:numPr>
          <w:ilvl w:val="0"/>
          <w:numId w:val="1005"/>
        </w:numPr>
      </w:pPr>
      <w:r>
        <w:t xml:space="preserve">BabyAI-OpenDoorColor-v0</w:t>
      </w:r>
    </w:p>
    <w:p>
      <w:pPr>
        <w:pStyle w:val="Compact"/>
        <w:numPr>
          <w:ilvl w:val="0"/>
          <w:numId w:val="1005"/>
        </w:numPr>
      </w:pPr>
      <w:r>
        <w:t xml:space="preserve">BabyAI-OpenDoorDebug-v0</w:t>
      </w:r>
    </w:p>
    <w:p>
      <w:pPr>
        <w:pStyle w:val="Compact"/>
        <w:numPr>
          <w:ilvl w:val="0"/>
          <w:numId w:val="1005"/>
        </w:numPr>
      </w:pPr>
      <w:r>
        <w:t xml:space="preserve">BabyAI-OpenDoorLoc-v0</w:t>
      </w:r>
    </w:p>
    <w:p>
      <w:pPr>
        <w:pStyle w:val="Compact"/>
        <w:numPr>
          <w:ilvl w:val="0"/>
          <w:numId w:val="1005"/>
        </w:numPr>
      </w:pPr>
      <w:r>
        <w:t xml:space="preserve">BabyAI-OpenDoorsOrderN2-v0</w:t>
      </w:r>
    </w:p>
    <w:p>
      <w:pPr>
        <w:pStyle w:val="Compact"/>
        <w:numPr>
          <w:ilvl w:val="0"/>
          <w:numId w:val="1005"/>
        </w:numPr>
      </w:pPr>
      <w:r>
        <w:t xml:space="preserve">BabyAI-OpenDoorsOrderN2Debug-v0</w:t>
      </w:r>
    </w:p>
    <w:p>
      <w:pPr>
        <w:pStyle w:val="Compact"/>
        <w:numPr>
          <w:ilvl w:val="0"/>
          <w:numId w:val="1005"/>
        </w:numPr>
      </w:pPr>
      <w:r>
        <w:t xml:space="preserve">BabyAI-OpenDoorsOrderN4-v0</w:t>
      </w:r>
    </w:p>
    <w:p>
      <w:pPr>
        <w:pStyle w:val="Compact"/>
        <w:numPr>
          <w:ilvl w:val="0"/>
          <w:numId w:val="1005"/>
        </w:numPr>
      </w:pPr>
      <w:r>
        <w:t xml:space="preserve">BabyAI-OpenDoorsOrderN4Debug-v0</w:t>
      </w:r>
    </w:p>
    <w:p>
      <w:pPr>
        <w:pStyle w:val="Compact"/>
        <w:numPr>
          <w:ilvl w:val="0"/>
          <w:numId w:val="1005"/>
        </w:numPr>
      </w:pPr>
      <w:r>
        <w:t xml:space="preserve">BabyAI-OpenRedBlueDoors-v0</w:t>
      </w:r>
    </w:p>
    <w:p>
      <w:pPr>
        <w:pStyle w:val="Compact"/>
        <w:numPr>
          <w:ilvl w:val="0"/>
          <w:numId w:val="1005"/>
        </w:numPr>
      </w:pPr>
      <w:r>
        <w:t xml:space="preserve">BabyAI-OpenRedBlueDoorsDebug-v0</w:t>
      </w:r>
    </w:p>
    <w:p>
      <w:pPr>
        <w:pStyle w:val="Compact"/>
        <w:numPr>
          <w:ilvl w:val="0"/>
          <w:numId w:val="1005"/>
        </w:numPr>
      </w:pPr>
      <w:r>
        <w:t xml:space="preserve">BabyAI-OpenRedDoor-v0</w:t>
      </w:r>
    </w:p>
    <w:p>
      <w:pPr>
        <w:pStyle w:val="Compact"/>
        <w:numPr>
          <w:ilvl w:val="0"/>
          <w:numId w:val="1005"/>
        </w:numPr>
      </w:pPr>
      <w:r>
        <w:t xml:space="preserve">BabyAI-OpenTwoDoors-v0</w:t>
      </w:r>
    </w:p>
    <w:p>
      <w:pPr>
        <w:pStyle w:val="Compact"/>
        <w:numPr>
          <w:ilvl w:val="0"/>
          <w:numId w:val="1005"/>
        </w:numPr>
      </w:pPr>
      <w:r>
        <w:t xml:space="preserve">BabyAI-Unlock-v0</w:t>
      </w:r>
    </w:p>
    <w:p>
      <w:pPr>
        <w:pStyle w:val="Compact"/>
        <w:numPr>
          <w:ilvl w:val="0"/>
          <w:numId w:val="1005"/>
        </w:numPr>
      </w:pPr>
      <w:r>
        <w:t xml:space="preserve">BabyAI-UnlockLocal-v0</w:t>
      </w:r>
    </w:p>
    <w:p>
      <w:pPr>
        <w:pStyle w:val="Compact"/>
        <w:numPr>
          <w:ilvl w:val="0"/>
          <w:numId w:val="1005"/>
        </w:numPr>
      </w:pPr>
      <w:r>
        <w:t xml:space="preserve">BabyAI-UnlockLocalDist-v0</w:t>
      </w:r>
    </w:p>
    <w:p>
      <w:pPr>
        <w:pStyle w:val="Compact"/>
        <w:numPr>
          <w:ilvl w:val="0"/>
          <w:numId w:val="1005"/>
        </w:numPr>
      </w:pPr>
      <w:r>
        <w:t xml:space="preserve">BabyAI-KeyInBox-v0</w:t>
      </w:r>
    </w:p>
    <w:p>
      <w:pPr>
        <w:pStyle w:val="FirstParagraph"/>
      </w:pPr>
      <w:r>
        <w:t xml:space="preserve">B6. A toggle is a precondition (these 9, plus the 28 of B4; on I1’s lists in both conditions):</w:t>
      </w:r>
    </w:p>
    <w:p>
      <w:pPr>
        <w:pStyle w:val="Compact"/>
        <w:numPr>
          <w:ilvl w:val="0"/>
          <w:numId w:val="1006"/>
        </w:numPr>
      </w:pPr>
      <w:r>
        <w:t xml:space="preserve">MiniGrid-DoorKey-5x5-v0</w:t>
      </w:r>
    </w:p>
    <w:p>
      <w:pPr>
        <w:pStyle w:val="Compact"/>
        <w:numPr>
          <w:ilvl w:val="0"/>
          <w:numId w:val="1006"/>
        </w:numPr>
      </w:pPr>
      <w:r>
        <w:t xml:space="preserve">MiniGrid-DoorKey-6x6-v0</w:t>
      </w:r>
    </w:p>
    <w:p>
      <w:pPr>
        <w:pStyle w:val="Compact"/>
        <w:numPr>
          <w:ilvl w:val="0"/>
          <w:numId w:val="1006"/>
        </w:numPr>
      </w:pPr>
      <w:r>
        <w:t xml:space="preserve">MiniGrid-DoorKey-16x16-v0</w:t>
      </w:r>
    </w:p>
    <w:p>
      <w:pPr>
        <w:pStyle w:val="Compact"/>
        <w:numPr>
          <w:ilvl w:val="0"/>
          <w:numId w:val="1006"/>
        </w:numPr>
      </w:pPr>
      <w:r>
        <w:t xml:space="preserve">MiniGrid-LockedRoom-v0</w:t>
      </w:r>
    </w:p>
    <w:p>
      <w:pPr>
        <w:pStyle w:val="Compact"/>
        <w:numPr>
          <w:ilvl w:val="0"/>
          <w:numId w:val="1006"/>
        </w:numPr>
      </w:pPr>
      <w:r>
        <w:t xml:space="preserve">MiniGrid-MultiRoom-N2-S4-v0</w:t>
      </w:r>
    </w:p>
    <w:p>
      <w:pPr>
        <w:pStyle w:val="Compact"/>
        <w:numPr>
          <w:ilvl w:val="0"/>
          <w:numId w:val="1006"/>
        </w:numPr>
      </w:pPr>
      <w:r>
        <w:t xml:space="preserve">MiniGrid-MultiRoom-N4-S5-v1</w:t>
      </w:r>
    </w:p>
    <w:p>
      <w:pPr>
        <w:pStyle w:val="Compact"/>
        <w:numPr>
          <w:ilvl w:val="0"/>
          <w:numId w:val="1006"/>
        </w:numPr>
      </w:pPr>
      <w:r>
        <w:t xml:space="preserve">MiniGrid-MultiRoom-N6-v0</w:t>
      </w:r>
    </w:p>
    <w:p>
      <w:pPr>
        <w:pStyle w:val="Compact"/>
        <w:numPr>
          <w:ilvl w:val="0"/>
          <w:numId w:val="1006"/>
        </w:numPr>
      </w:pPr>
      <w:r>
        <w:t xml:space="preserve">BabyAI-GoToImpUnlock-v0</w:t>
      </w:r>
    </w:p>
    <w:p>
      <w:pPr>
        <w:pStyle w:val="Compact"/>
        <w:numPr>
          <w:ilvl w:val="0"/>
          <w:numId w:val="1006"/>
        </w:numPr>
      </w:pPr>
      <w:r>
        <w:t xml:space="preserve">BabyAI-PickupAbove-v0</w:t>
      </w:r>
    </w:p>
    <w:p>
      <w:pPr>
        <w:pStyle w:val="FirstParagraph"/>
      </w:pPr>
      <w:r>
        <w:rPr>
          <w:b/>
          <w:bCs/>
        </w:rPr>
        <w:t xml:space="preserve">Table B1.</w:t>
      </w:r>
      <w:r>
        <w:t xml:space="preserve"> </w:t>
      </w:r>
      <w:r>
        <w:t xml:space="preserve">The lists per agent and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 and condition</w:t>
            </w:r>
          </w:p>
        </w:tc>
        <w:tc>
          <w:tcPr/>
          <w:p>
            <w:pPr>
              <w:pStyle w:val="Compact"/>
            </w:pPr>
            <w:r>
              <w:t xml:space="preserve">lists</w:t>
            </w:r>
          </w:p>
        </w:tc>
        <w:tc>
          <w:tcPr/>
          <w:p>
            <w:pPr>
              <w:pStyle w:val="Compact"/>
            </w:pPr>
            <w:r>
              <w:t xml:space="preserve">excluded</w:t>
            </w:r>
          </w:p>
        </w:tc>
        <w:tc>
          <w:tcPr/>
          <w:p>
            <w:pPr>
              <w:pStyle w:val="Compact"/>
            </w:pPr>
            <w:r>
              <w:t xml:space="preserve">primary games</w:t>
            </w:r>
          </w:p>
        </w:tc>
      </w:tr>
      <w:tr>
        <w:tc>
          <w:tcPr/>
          <w:p>
            <w:pPr>
              <w:pStyle w:val="Compact"/>
            </w:pPr>
            <w:r>
              <w:t xml:space="preserve">R and N, primitive actions</w:t>
            </w:r>
          </w:p>
        </w:tc>
        <w:tc>
          <w:tcPr/>
          <w:p>
            <w:pPr>
              <w:pStyle w:val="Compact"/>
            </w:pPr>
            <w:r>
              <w:t xml:space="preserve">B1, B2</w:t>
            </w:r>
          </w:p>
        </w:tc>
        <w:tc>
          <w:tcPr/>
          <w:p>
            <w:pPr>
              <w:pStyle w:val="Compact"/>
            </w:pPr>
            <w:r>
              <w:t xml:space="preserve">6</w:t>
            </w:r>
          </w:p>
        </w:tc>
        <w:tc>
          <w:tcPr/>
          <w:p>
            <w:pPr>
              <w:pStyle w:val="Compact"/>
            </w:pPr>
            <w:r>
              <w:t xml:space="preserve">155</w:t>
            </w:r>
          </w:p>
        </w:tc>
      </w:tr>
      <w:tr>
        <w:tc>
          <w:tcPr/>
          <w:p>
            <w:pPr>
              <w:pStyle w:val="Compact"/>
            </w:pPr>
            <w:r>
              <w:t xml:space="preserve">R and N, absolute moves</w:t>
            </w:r>
          </w:p>
        </w:tc>
        <w:tc>
          <w:tcPr/>
          <w:p>
            <w:pPr>
              <w:pStyle w:val="Compact"/>
            </w:pPr>
            <w:r>
              <w:t xml:space="preserve">B1, B2, B3, B4</w:t>
            </w:r>
          </w:p>
        </w:tc>
        <w:tc>
          <w:tcPr/>
          <w:p>
            <w:pPr>
              <w:pStyle w:val="Compact"/>
            </w:pPr>
            <w:r>
              <w:t xml:space="preserve">49</w:t>
            </w:r>
          </w:p>
        </w:tc>
        <w:tc>
          <w:tcPr/>
          <w:p>
            <w:pPr>
              <w:pStyle w:val="Compact"/>
            </w:pPr>
            <w:r>
              <w:t xml:space="preserve">112</w:t>
            </w:r>
          </w:p>
        </w:tc>
      </w:tr>
      <w:tr>
        <w:tc>
          <w:tcPr/>
          <w:p>
            <w:pPr>
              <w:pStyle w:val="Compact"/>
            </w:pPr>
            <w:r>
              <w:t xml:space="preserve">I1, primitive actions</w:t>
            </w:r>
          </w:p>
        </w:tc>
        <w:tc>
          <w:tcPr/>
          <w:p>
            <w:pPr>
              <w:pStyle w:val="Compact"/>
            </w:pPr>
            <w:r>
              <w:t xml:space="preserve">B1, B2, B4, B5, B6</w:t>
            </w:r>
          </w:p>
        </w:tc>
        <w:tc>
          <w:tcPr/>
          <w:p>
            <w:pPr>
              <w:pStyle w:val="Compact"/>
            </w:pPr>
            <w:r>
              <w:t xml:space="preserve">63</w:t>
            </w:r>
          </w:p>
        </w:tc>
        <w:tc>
          <w:tcPr/>
          <w:p>
            <w:pPr>
              <w:pStyle w:val="Compact"/>
            </w:pPr>
            <w:r>
              <w:t xml:space="preserve">98</w:t>
            </w:r>
          </w:p>
        </w:tc>
      </w:tr>
      <w:tr>
        <w:tc>
          <w:tcPr/>
          <w:p>
            <w:pPr>
              <w:pStyle w:val="Compact"/>
            </w:pPr>
            <w:r>
              <w:t xml:space="preserve">I1, absolute moves</w:t>
            </w:r>
          </w:p>
        </w:tc>
        <w:tc>
          <w:tcPr/>
          <w:p>
            <w:pPr>
              <w:pStyle w:val="Compact"/>
            </w:pPr>
            <w:r>
              <w:t xml:space="preserve">B1, B2, B3, B4, B5, B6</w:t>
            </w:r>
          </w:p>
        </w:tc>
        <w:tc>
          <w:tcPr/>
          <w:p>
            <w:pPr>
              <w:pStyle w:val="Compact"/>
            </w:pPr>
            <w:r>
              <w:t xml:space="preserve">78</w:t>
            </w:r>
          </w:p>
        </w:tc>
        <w:tc>
          <w:tcPr/>
          <w:p>
            <w:pPr>
              <w:pStyle w:val="Compact"/>
            </w:pPr>
            <w:r>
              <w:t xml:space="preserve">83</w:t>
            </w:r>
          </w:p>
        </w:tc>
      </w:tr>
      <w:tr>
        <w:tc>
          <w:tcPr/>
          <w:p>
            <w:pPr>
              <w:pStyle w:val="Compact"/>
            </w:pPr>
            <w:r>
              <w:t xml:space="preserve">any agent, Procgen</w:t>
            </w:r>
          </w:p>
        </w:tc>
        <w:tc>
          <w:tcPr/>
          <w:p>
            <w:pPr>
              <w:pStyle w:val="Compact"/>
            </w:pPr>
            <w:r>
              <w:t xml:space="preserve">none</w:t>
            </w:r>
          </w:p>
        </w:tc>
        <w:tc>
          <w:tcPr/>
          <w:p>
            <w:pPr>
              <w:pStyle w:val="Compact"/>
            </w:pPr>
            <w:r>
              <w:t xml:space="preserve">0</w:t>
            </w:r>
          </w:p>
        </w:tc>
        <w:tc>
          <w:tcPr/>
          <w:p>
            <w:pPr>
              <w:pStyle w:val="Compact"/>
            </w:pPr>
            <w:r>
              <w:t xml:space="preserve">14</w:t>
            </w:r>
          </w:p>
        </w:tc>
      </w:tr>
    </w:tbl>
    <w:p>
      <w:pPr>
        <w:pStyle w:val="Heading1"/>
      </w:pPr>
      <w:bookmarkStart w:id="56" w:name="_792973ab7380822dda46f13aced7cdb9cd43bbd"/>
      <w:r>
        <w:t xml:space="preserve">Appendix C. Provenance of the numbers</w:t>
      </w:r>
      <w:bookmarkEnd w:id="56"/>
    </w:p>
    <w:p>
      <w:pPr>
        <w:pStyle w:val="FirstParagraph"/>
      </w:pPr>
      <w:r>
        <w:t xml:space="preserve">Every number in this article is a value in docs/manuscript/numbers.json, written by scripts/manuscript_numbers.py from committed files, and scripts/manuscript_check.py rejects any numeral in the text that is not one of those values. Table C1 lists, for each class of number, the committed files its values come from and the commit that last changed each file. It is written by scripts/manuscript_numbers.py and copied here unchanged.</w:t>
      </w:r>
    </w:p>
    <w:p>
      <w:pPr>
        <w:pStyle w:val="BodyText"/>
      </w:pPr>
      <w:r>
        <w:rPr>
          <w:b/>
          <w:bCs/>
        </w:rPr>
        <w:t xml:space="preserve">Table C1.</w:t>
      </w:r>
      <w:r>
        <w:t xml:space="preserve"> </w:t>
      </w:r>
      <w:r>
        <w:t xml:space="preserve">Number classes and their 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number class</w:t>
            </w:r>
          </w:p>
        </w:tc>
        <w:tc>
          <w:tcPr/>
          <w:p>
            <w:pPr>
              <w:pStyle w:val="Compact"/>
            </w:pPr>
            <w:r>
              <w:t xml:space="preserve">source files, each with the commit that last changed it</w:t>
            </w:r>
          </w:p>
        </w:tc>
      </w:tr>
      <w:tr>
        <w:tc>
          <w:tcPr/>
          <w:p>
            <w:pPr>
              <w:pStyle w:val="Compact"/>
            </w:pPr>
            <w:r>
              <w:t xml:space="preserve">count</w:t>
            </w:r>
          </w:p>
        </w:tc>
        <w:tc>
          <w:tcPr/>
          <w:p>
            <w:pPr>
              <w:pStyle w:val="Compact"/>
            </w:pPr>
            <w:r>
              <w:t xml:space="preserve">docs/EXPLORATORY_V1_DIAGNOSIS.md (7d9205e); docs/GROUND_TRUTH_minigrid.md (f12e529); docs/GROUND_TRUTH_procgen.md (8d209b3); docs/HELDOUT.md (4d2c02c); docs/PREREG.md (7d9205e); docs/STATE.md (2048f36);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t xml:space="preserve">rate (agreement, κ, AUROC, interval bound, share)</w:t>
            </w:r>
          </w:p>
        </w:tc>
        <w:tc>
          <w:tcPr/>
          <w:p>
            <w:pPr>
              <w:pStyle w:val="Compact"/>
            </w:pPr>
            <w:r>
              <w:t xml:space="preserve">docs/tables/v1.json (bb0f1a1); docs/tables/v2.json (bb0f1a1); runs/exploratory/v1_diagnosis.json (66e5606)</w:t>
            </w:r>
          </w:p>
        </w:tc>
      </w:tr>
      <w:tr>
        <w:tc>
          <w:tcPr/>
          <w:p>
            <w:pPr>
              <w:pStyle w:val="Compact"/>
            </w:pPr>
            <w:r>
              <w:t xml:space="preserve">registered threshold</w:t>
            </w:r>
          </w:p>
        </w:tc>
        <w:tc>
          <w:tcPr/>
          <w:p>
            <w:pPr>
              <w:pStyle w:val="Compact"/>
            </w:pPr>
            <w:r>
              <w:t xml:space="preserve">docs/PREREG.md (7d9205e)</w:t>
            </w:r>
          </w:p>
        </w:tc>
      </w:tr>
      <w:tr>
        <w:tc>
          <w:tcPr/>
          <w:p>
            <w:pPr>
              <w:pStyle w:val="Compact"/>
            </w:pPr>
            <w:r>
              <w:t xml:space="preserve">constant, cap, seed or time</w:t>
            </w:r>
          </w:p>
        </w:tc>
        <w:tc>
          <w:tcPr/>
          <w:p>
            <w:pPr>
              <w:pStyle w:val="Compact"/>
            </w:pPr>
            <w:r>
              <w:t xml:space="preserve">docs/PREREG.md (7d9205e); docs/tables/v2.json (bb0f1a1); runs/pilot_checks/pilot_check.json (cda7aa0); runs/pilot_checks/procgen_camera_check.json (cda7aa0)</w:t>
            </w:r>
          </w:p>
        </w:tc>
      </w:tr>
      <w:tr>
        <w:tc>
          <w:tcPr/>
          <w:p>
            <w:pPr>
              <w:pStyle w:val="Compact"/>
            </w:pPr>
            <w:r>
              <w:t xml:space="preserve">commit or blob hash</w:t>
            </w:r>
          </w:p>
        </w:tc>
        <w:tc>
          <w:tcPr/>
          <w:p>
            <w:pPr>
              <w:pStyle w:val="Compact"/>
            </w:pPr>
            <w:r>
              <w:t xml:space="preserve">docs/PREREG.md (7d9205e); docs/STATE.md (2048f36); git tag objects and git ls-tree (the tag objects themselves)</w:t>
            </w:r>
          </w:p>
        </w:tc>
      </w:tr>
      <w:tr>
        <w:tc>
          <w:tcPr/>
          <w:p>
            <w:pPr>
              <w:pStyle w:val="Compact"/>
            </w:pPr>
            <w:r>
              <w:t xml:space="preserve">date</w:t>
            </w:r>
          </w:p>
        </w:tc>
        <w:tc>
          <w:tcPr/>
          <w:p>
            <w:pPr>
              <w:pStyle w:val="Compact"/>
            </w:pPr>
            <w:r>
              <w:t xml:space="preserve">docs/HELDOUT.md (4d2c02c); docs/PREREG.md (7d9205e); docs/STATE.md (2048f36); git tag objects and git ls-tree (the tag objects themselves)</w:t>
            </w:r>
          </w:p>
        </w:tc>
      </w:tr>
      <w:tr>
        <w:tc>
          <w:tcPr/>
          <w:p>
            <w:pPr>
              <w:pStyle w:val="Compact"/>
            </w:pPr>
            <w:r>
              <w:t xml:space="preserve">package version</w:t>
            </w:r>
          </w:p>
        </w:tc>
        <w:tc>
          <w:tcPr/>
          <w:p>
            <w:pPr>
              <w:pStyle w:val="Compact"/>
            </w:pPr>
            <w:r>
              <w:t xml:space="preserve">docs/PREREG.md (7d9205e)</w:t>
            </w:r>
          </w:p>
        </w:tc>
      </w:tr>
      <w:tr>
        <w:tc>
          <w:tcPr/>
          <w:p>
            <w:pPr>
              <w:pStyle w:val="Compact"/>
            </w:pPr>
            <w:r>
              <w:t xml:space="preserve">URL or DOI</w:t>
            </w:r>
          </w:p>
        </w:tc>
        <w:tc>
          <w:tcPr/>
          <w:p>
            <w:pPr>
              <w:pStyle w:val="Compact"/>
            </w:pPr>
            <w:r>
              <w:t xml:space="preserve">docs/STATE.md (2048f36); docs/manuscript/REFERENCES_CHECK.md (6df6718); docs/manuscript/REVIEW_draft1.md (48931d2); docs/preprint/preprint.md (8bed48b); docs/preprint/references.bib (8bed48b)</w:t>
            </w:r>
          </w:p>
        </w:tc>
      </w:tr>
      <w:tr>
        <w:tc>
          <w:tcPr/>
          <w:p>
            <w:pPr>
              <w:pStyle w:val="Compact"/>
            </w:pPr>
            <w:r>
              <w:t xml:space="preserve">reference field, verdict word or ORCID</w:t>
            </w:r>
          </w:p>
        </w:tc>
        <w:tc>
          <w:tcPr/>
          <w:p>
            <w:pPr>
              <w:pStyle w:val="Compact"/>
            </w:pPr>
            <w:r>
              <w:t xml:space="preserve">docs/manuscript/REFERENCES_CHECK.md (6df6718); docs/preprint/preprint.md (8bed48b); docs/preprint/references.bib (8bed48b); docs/tables/v1.json (bb0f1a1); docs/tables/v2.json (bb0f1a1)</w:t>
            </w:r>
          </w:p>
        </w:tc>
      </w:tr>
    </w:tbl>
    <w:p>
      <w:pPr>
        <w:pStyle w:val="Heading1"/>
      </w:pPr>
      <w:bookmarkStart w:id="57" w:name="_b987a28fc1b18b5273ab7baa164dd801a4e3d61"/>
      <w:r>
        <w:t xml:space="preserve">Appendix D. Frozen files and analysis scripts</w:t>
      </w:r>
      <w:bookmarkEnd w:id="57"/>
    </w:p>
    <w:p>
      <w:pPr>
        <w:pStyle w:val="FirstParagraph"/>
      </w:pPr>
      <w:r>
        <w:t xml:space="preserve">The six census files were frozen at prereg-v1 and are identical at prereg-v1.1; the runner checked their blob hashes before every run. The analysis scripts are those at prereg-v1.1. Each hash below equals the output of git ls-tree at prereg-v1.1.</w:t>
      </w:r>
    </w:p>
    <w:p>
      <w:pPr>
        <w:pStyle w:val="BodyText"/>
      </w:pPr>
      <w:r>
        <w:rPr>
          <w:b/>
          <w:bCs/>
        </w:rPr>
        <w:t xml:space="preserve">Table D1.</w:t>
      </w:r>
      <w:r>
        <w:t xml:space="preserve"> </w:t>
      </w:r>
      <w:r>
        <w:t xml:space="preserve">Git blob hashes of the frozen files and the analysis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role</w:t>
            </w:r>
          </w:p>
        </w:tc>
        <w:tc>
          <w:tcPr/>
          <w:p>
            <w:pPr>
              <w:pStyle w:val="Compact"/>
            </w:pPr>
            <w:r>
              <w:t xml:space="preserve">git blob hash</w:t>
            </w:r>
          </w:p>
        </w:tc>
      </w:tr>
      <w:tr>
        <w:tc>
          <w:tcPr/>
          <w:p>
            <w:pPr>
              <w:pStyle w:val="Compact"/>
            </w:pPr>
            <w:r>
              <w:t xml:space="preserve">scripts/g_agent.py</w:t>
            </w:r>
          </w:p>
        </w:tc>
        <w:tc>
          <w:tcPr/>
          <w:p>
            <w:pPr>
              <w:pStyle w:val="Compact"/>
            </w:pPr>
            <w:r>
              <w:t xml:space="preserve">explorer R, frozen</w:t>
            </w:r>
          </w:p>
        </w:tc>
        <w:tc>
          <w:tcPr/>
          <w:p>
            <w:pPr>
              <w:pStyle w:val="Compact"/>
            </w:pPr>
            <w:r>
              <w:t xml:space="preserve">72585a4dbb926d4512ff9596f58118a176bb0646</w:t>
            </w:r>
          </w:p>
        </w:tc>
      </w:tr>
      <w:tr>
        <w:tc>
          <w:tcPr/>
          <w:p>
            <w:pPr>
              <w:pStyle w:val="Compact"/>
            </w:pPr>
            <w:r>
              <w:t xml:space="preserve">scripts/g_nav.py</w:t>
            </w:r>
          </w:p>
        </w:tc>
        <w:tc>
          <w:tcPr/>
          <w:p>
            <w:pPr>
              <w:pStyle w:val="Compact"/>
            </w:pPr>
            <w:r>
              <w:t xml:space="preserve">planner N and census report, frozen</w:t>
            </w:r>
          </w:p>
        </w:tc>
        <w:tc>
          <w:tcPr/>
          <w:p>
            <w:pPr>
              <w:pStyle w:val="Compact"/>
            </w:pPr>
            <w:r>
              <w:t xml:space="preserve">a8a7eb61e62a658c239b98e0224e3588a662d1a0</w:t>
            </w:r>
          </w:p>
        </w:tc>
      </w:tr>
      <w:tr>
        <w:tc>
          <w:tcPr/>
          <w:p>
            <w:pPr>
              <w:pStyle w:val="Compact"/>
            </w:pPr>
            <w:r>
              <w:t xml:space="preserve">scripts/g_motion.py</w:t>
            </w:r>
          </w:p>
        </w:tc>
        <w:tc>
          <w:tcPr/>
          <w:p>
            <w:pPr>
              <w:pStyle w:val="Compact"/>
            </w:pPr>
            <w:r>
              <w:t xml:space="preserve">motion detector, frozen</w:t>
            </w:r>
          </w:p>
        </w:tc>
        <w:tc>
          <w:tcPr/>
          <w:p>
            <w:pPr>
              <w:pStyle w:val="Compact"/>
            </w:pPr>
            <w:r>
              <w:t xml:space="preserve">14018512a5c6b0efc81aed61c5466654d338be0b</w:t>
            </w:r>
          </w:p>
        </w:tc>
      </w:tr>
      <w:tr>
        <w:tc>
          <w:tcPr/>
          <w:p>
            <w:pPr>
              <w:pStyle w:val="Compact"/>
            </w:pPr>
            <w:r>
              <w:t xml:space="preserve">scripts/g_control_probe.py</w:t>
            </w:r>
          </w:p>
        </w:tc>
        <w:tc>
          <w:tcPr/>
          <w:p>
            <w:pPr>
              <w:pStyle w:val="Compact"/>
            </w:pPr>
            <w:r>
              <w:t xml:space="preserve">key set, frozen</w:t>
            </w:r>
          </w:p>
        </w:tc>
        <w:tc>
          <w:tcPr/>
          <w:p>
            <w:pPr>
              <w:pStyle w:val="Compact"/>
            </w:pPr>
            <w:r>
              <w:t xml:space="preserve">d5ff2a4dc77b9e1148929e7db03fe99a9d2b0bf8</w:t>
            </w:r>
          </w:p>
        </w:tc>
      </w:tr>
      <w:tr>
        <w:tc>
          <w:tcPr/>
          <w:p>
            <w:pPr>
              <w:pStyle w:val="Compact"/>
            </w:pPr>
            <w:r>
              <w:t xml:space="preserve">scripts/g_nav_run.py</w:t>
            </w:r>
          </w:p>
        </w:tc>
        <w:tc>
          <w:tcPr/>
          <w:p>
            <w:pPr>
              <w:pStyle w:val="Compact"/>
            </w:pPr>
            <w:r>
              <w:t xml:space="preserve">ARC-AGI-3 runner, frozen</w:t>
            </w:r>
          </w:p>
        </w:tc>
        <w:tc>
          <w:tcPr/>
          <w:p>
            <w:pPr>
              <w:pStyle w:val="Compact"/>
            </w:pPr>
            <w:r>
              <w:t xml:space="preserve">2cc0146a697e525e5873d4e29cb80f4ae8bd6297</w:t>
            </w:r>
          </w:p>
        </w:tc>
      </w:tr>
      <w:tr>
        <w:tc>
          <w:tcPr/>
          <w:p>
            <w:pPr>
              <w:pStyle w:val="Compact"/>
            </w:pPr>
            <w:r>
              <w:t xml:space="preserve">scripts/g_census_table.py</w:t>
            </w:r>
          </w:p>
        </w:tc>
        <w:tc>
          <w:tcPr/>
          <w:p>
            <w:pPr>
              <w:pStyle w:val="Compact"/>
            </w:pPr>
            <w:r>
              <w:t xml:space="preserve">ARC-AGI-3 census table rule, frozen</w:t>
            </w:r>
          </w:p>
        </w:tc>
        <w:tc>
          <w:tcPr/>
          <w:p>
            <w:pPr>
              <w:pStyle w:val="Compact"/>
            </w:pPr>
            <w:r>
              <w:t xml:space="preserve">488feaca9c10985c4d0ff62791ceb4fa6fa6b9a8</w:t>
            </w:r>
          </w:p>
        </w:tc>
      </w:tr>
      <w:tr>
        <w:tc>
          <w:tcPr/>
          <w:p>
            <w:pPr>
              <w:pStyle w:val="Compact"/>
            </w:pPr>
            <w:r>
              <w:t xml:space="preserve">scripts/analyze_common.py</w:t>
            </w:r>
          </w:p>
        </w:tc>
        <w:tc>
          <w:tcPr/>
          <w:p>
            <w:pPr>
              <w:pStyle w:val="Compact"/>
            </w:pPr>
            <w:r>
              <w:t xml:space="preserve">census rules, statistics, exclusion lists</w:t>
            </w:r>
          </w:p>
        </w:tc>
        <w:tc>
          <w:tcPr/>
          <w:p>
            <w:pPr>
              <w:pStyle w:val="Compact"/>
            </w:pPr>
            <w:r>
              <w:t xml:space="preserve">caad22731807db78aff9c92c993a79a63f042ec3</w:t>
            </w:r>
          </w:p>
        </w:tc>
      </w:tr>
      <w:tr>
        <w:tc>
          <w:tcPr/>
          <w:p>
            <w:pPr>
              <w:pStyle w:val="Compact"/>
            </w:pPr>
            <w:r>
              <w:t xml:space="preserve">scripts/analyze_v1.py</w:t>
            </w:r>
          </w:p>
        </w:tc>
        <w:tc>
          <w:tcPr/>
          <w:p>
            <w:pPr>
              <w:pStyle w:val="Compact"/>
            </w:pPr>
            <w:r>
              <w:t xml:space="preserve">test V1</w:t>
            </w:r>
          </w:p>
        </w:tc>
        <w:tc>
          <w:tcPr/>
          <w:p>
            <w:pPr>
              <w:pStyle w:val="Compact"/>
            </w:pPr>
            <w:r>
              <w:t xml:space="preserve">515f44b0f007182172022272383de548e80d5a11</w:t>
            </w:r>
          </w:p>
        </w:tc>
      </w:tr>
      <w:tr>
        <w:tc>
          <w:tcPr/>
          <w:p>
            <w:pPr>
              <w:pStyle w:val="Compact"/>
            </w:pPr>
            <w:r>
              <w:t xml:space="preserve">scripts/analyze_v2.py</w:t>
            </w:r>
          </w:p>
        </w:tc>
        <w:tc>
          <w:tcPr/>
          <w:p>
            <w:pPr>
              <w:pStyle w:val="Compact"/>
            </w:pPr>
            <w:r>
              <w:t xml:space="preserve">test V2</w:t>
            </w:r>
          </w:p>
        </w:tc>
        <w:tc>
          <w:tcPr/>
          <w:p>
            <w:pPr>
              <w:pStyle w:val="Compact"/>
            </w:pPr>
            <w:r>
              <w:t xml:space="preserve">90a849c44e47addd8efdbfa579efdb16288edd50</w:t>
            </w:r>
          </w:p>
        </w:tc>
      </w:tr>
      <w:tr>
        <w:tc>
          <w:tcPr/>
          <w:p>
            <w:pPr>
              <w:pStyle w:val="Compact"/>
            </w:pPr>
            <w:r>
              <w:t xml:space="preserve">scripts/analyze_g.py</w:t>
            </w:r>
          </w:p>
        </w:tc>
        <w:tc>
          <w:tcPr/>
          <w:p>
            <w:pPr>
              <w:pStyle w:val="Compact"/>
            </w:pPr>
            <w:r>
              <w:t xml:space="preserve">cost G (not run)</w:t>
            </w:r>
          </w:p>
        </w:tc>
        <w:tc>
          <w:tcPr/>
          <w:p>
            <w:pPr>
              <w:pStyle w:val="Compact"/>
            </w:pPr>
            <w:r>
              <w:t xml:space="preserve">46bf991d86400f0189d8898a7e068044d25c629a</w:t>
            </w:r>
          </w:p>
        </w:tc>
      </w:tr>
      <w:tr>
        <w:tc>
          <w:tcPr/>
          <w:p>
            <w:pPr>
              <w:pStyle w:val="Compact"/>
            </w:pPr>
            <w:r>
              <w:t xml:space="preserve">scripts/determinism_check.py</w:t>
            </w:r>
          </w:p>
        </w:tc>
        <w:tc>
          <w:tcPr/>
          <w:p>
            <w:pPr>
              <w:pStyle w:val="Compact"/>
            </w:pPr>
            <w:r>
              <w:t xml:space="preserve">determinism check</w:t>
            </w:r>
          </w:p>
        </w:tc>
        <w:tc>
          <w:tcPr/>
          <w:p>
            <w:pPr>
              <w:pStyle w:val="Compact"/>
            </w:pPr>
            <w:r>
              <w:t xml:space="preserve">4f98f6430e9221deb1a43f2313eb00f5ca676969</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frame-only census of game mechanics, fitted on ARC-AGI-3, failed its validity test on MiniGrid/BabyAI and Procgen</dc:title>
  <dc:creator>Rahul Kumar Mishra</dc:creator>
  <cp:keywords/>
  <dcterms:created xsi:type="dcterms:W3CDTF">2026-10-14T16:57:07Z</dcterms:created>
  <dcterms:modified xsi:type="dcterms:W3CDTF">2026-10-14T16:57:07Z</dcterms:modified>
</cp:coreProperties>
</file>

<file path=docProps/custom.xml><?xml version="1.0" encoding="utf-8"?>
<Properties xmlns="http://schemas.openxmlformats.org/officeDocument/2006/custom-properties" xmlns:vt="http://schemas.openxmlformats.org/officeDocument/2006/docPropsVTypes"/>
</file>