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rPr>
          <w:b/>
          <w:bCs/>
        </w:rPr>
        <w:t xml:space="preserve">Rahul Kumar Mishra</w:t>
      </w:r>
    </w:p>
    <w:p>
      <w:pPr>
        <w:pStyle w:val="BodyText"/>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A preprint of this article is on OSF Preprints under CC-BY 4.0: DOI [to be inserted]</w:t>
      </w:r>
    </w:p>
    <w:p>
      <w:pPr>
        <w:pStyle w:val="Heading1"/>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1"/>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1"/>
      </w:pPr>
      <w:bookmarkStart w:id="11" w:name="_abstract"/>
      <w:r>
        <w:t xml:space="preserve">Abstract</w:t>
      </w:r>
      <w:bookmarkEnd w:id="11"/>
    </w:p>
    <w:p>
      <w:pPr>
        <w:pStyle w:val="FirstParagraph"/>
      </w:pPr>
      <w:r>
        <w:t xml:space="preserve">Before any confirmatory run, I registered the claim that a fixed battery of frame-only probes, the assumption census, would report five mechanical assumptions of unseen games as each game’s source code states them. It would also predict on which games assumption-driven frame-only agents complete the first level. I froze every census parameter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On all six primary MiniGrid/BabyAI lines,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where its parameters are set, and on the pilot games, before any confirmatory use.</w:t>
      </w:r>
    </w:p>
    <w:p>
      <w:pPr>
        <w:pStyle w:val="Heading1"/>
      </w:pPr>
      <w:bookmarkStart w:id="12" w:name="_introduction"/>
      <w:r>
        <w:t xml:space="preserve">Introduction</w:t>
      </w:r>
      <w:bookmarkEnd w:id="12"/>
    </w:p>
    <w:p>
      <w:pPr>
        <w:pStyle w:val="FirstParagraph"/>
      </w:pPr>
      <w:r>
        <w:t xml:space="preserve">A frame-only game agent sees the picture on the screen and is told when a level or the game ends, and nothing more.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 agents studied here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then predict where such agents will finish the first level, and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I preregistered the claim because it is easy to fool oneself with an instrument of this kind. I had tuned its parameters while developing a planner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experimental protocol is fixed and reviewed before the experiments are run.</w:t>
      </w:r>
    </w:p>
    <w:p>
      <w:pPr>
        <w:pStyle w:val="BodyText"/>
      </w:pPr>
      <w: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Its prediction target, first-level completion by a stated class of agents that rely on the assumptions, is tested as V2, registered before any run.</w:t>
      </w:r>
    </w:p>
    <w:p>
      <w:pPr>
        <w:pStyle w:val="BodyText"/>
      </w:pPr>
      <w:r>
        <w:t xml:space="preserve">The census builds on earlier work on finding, from frames alone, the part of the screen that the actions control.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w:t>
      </w:r>
    </w:p>
    <w:p>
      <w:pPr>
        <w:pStyle w:val="BodyText"/>
      </w:pPr>
      <w:r>
        <w:t xml:space="preserve">I developed the census on eight of the 25 public ARC-AGI-3 games and kept the other 17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reason for a fixed split is the problem of holdout reuse: when the same held-out set is consulted again and again while choices are made, choices can come to fit it (Blum &amp; Hardt, 2015). Roelofs et al. (2019) measured this effect across many machine learning competitions and found little of it. The two further suites, MiniGrid/BabyAI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1"/>
      </w:pPr>
      <w:bookmarkStart w:id="13" w:name="_method"/>
      <w:r>
        <w:t xml:space="preserve">Method</w:t>
      </w:r>
      <w:bookmarkEnd w:id="13"/>
    </w:p>
    <w:p>
      <w:pPr>
        <w:pStyle w:val="Heading2"/>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(Appendix D), and the runner refused to start if any of them differed.</w:t>
      </w:r>
    </w:p>
    <w:p>
      <w:pPr>
        <w:pStyle w:val="BodyText"/>
      </w:pPr>
      <w:r>
        <w:t xml:space="preserve">I set these parameters while developing the planner on the eight ARC-AGI-3 training games. The protocol provided for a truth table derived from source for those eight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 The protocol also listed I1 for ARC-AGI-3, and I1 was not run there under the registered code. Both omissions are among the deviations below.</w:t>
      </w:r>
    </w:p>
    <w:p>
      <w:pPr>
        <w:pStyle w:val="Heading2"/>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(minigrid 3.1.0, gymnasium 1.3.0, Python 3.11.9)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17" w:name="_agents"/>
      <w:r>
        <w:t xml:space="preserve">Agents</w:t>
      </w:r>
      <w:bookmarkEnd w:id="17"/>
    </w:p>
    <w:p>
      <w:pPr>
        <w:pStyle w:val="FirstParagraph"/>
      </w:pPr>
      <w: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18" w:name="_85f267cad25e618fcf31b97941ae2f1bb7d7d19"/>
      <w:r>
        <w:t xml:space="preserve">The preregistration</w:t>
      </w:r>
      <w:bookmarkEnd w:id="18"/>
    </w:p>
    <w:p>
      <w:pPr>
        <w:pStyle w:val="FirstParagraph"/>
      </w:pPr>
      <w: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suites and their splits between pilot and confirmatory games, the seeds and budget, the tests and thresholds, the analysis code and the outcome table. The protocol gives each census constant with its file, line and commit. LEARN_AGREE = 3 is at scripts/g_nav.py:55, the 2:1 margin at scripts/g_nav.py:756, LEARN_MAX = 8 at scripts/g_nav.py:56 and the search limit of 40000 nodes at scripts/g_nav.py:54, all at commit ccc4d57. The motion threshold of 2 cells is at scripts/g_motion.py:20, commit 378345f.</w:t>
      </w:r>
    </w:p>
    <w:p>
      <w:pPr>
        <w:pStyle w:val="BodyText"/>
      </w:pPr>
      <w:r>
        <w:t xml:space="preserve">The claim sentence differs in wording between the two registered texts of v1. The git-tagged protocol names the goal-identification cost G as part of the battery and says</w:t>
      </w:r>
      <w:r>
        <w:t xml:space="preserve"> </w:t>
      </w:r>
      <w:r>
        <w:t xml:space="preserve">“in three suites”</w:t>
      </w:r>
      <w:r>
        <w:t xml:space="preserve">. The OSF text, quoted in the Purpose section, describes G as</w:t>
      </w:r>
      <w:r>
        <w:t xml:space="preserve"> </w:t>
      </w:r>
      <w:r>
        <w:t xml:space="preserve">“measured and reported alongside, not tested”</w:t>
      </w:r>
      <w:r>
        <w:t xml:space="preserve"> </w:t>
      </w:r>
      <w:r>
        <w:t xml:space="preserve">and names no number of suites. The tests, thresholds and outcome table are the same in both.</w:t>
      </w:r>
    </w:p>
    <w:p>
      <w:pPr>
        <w:pStyle w:val="BodyText"/>
      </w:pPr>
      <w: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are under embargo until 30 June 2030, and their registered texts are in the repository. I wrote version v1.2 after the outcome and tagged it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D1 to D4 fix how each suite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It fails when agreement is below 0.75, and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Heading2"/>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2"/>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22" w:name="_b9be8f5f23c54bc3d5bc3528e419997d2d4e293"/>
      <w:r>
        <w:t xml:space="preserve">Checks before and after the runs</w:t>
      </w:r>
      <w:bookmarkEnd w:id="22"/>
    </w:p>
    <w:p>
      <w:pPr>
        <w:pStyle w:val="FirstParagraph"/>
      </w:pPr>
      <w: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2"/>
      </w:pPr>
      <w:bookmarkStart w:id="24" w:name="_a016eb24157e82a6f1c3b01cfc1e7b17f42c3ef"/>
      <w:r>
        <w:t xml:space="preserve">Deviations from the registered protocol</w:t>
      </w:r>
      <w:bookmarkEnd w:id="24"/>
    </w:p>
    <w:p>
      <w:pPr>
        <w:pStyle w:val="FirstParagraph"/>
      </w:pPr>
      <w: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w:t>
      </w:r>
    </w:p>
    <w:p>
      <w:pPr>
        <w:pStyle w:val="BodyText"/>
      </w:pPr>
      <w: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 did not make it; I recorded it as a lesson on 13 October 2026. The fifth I found on 14 October 2026, while writing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t xml:space="preserve">The last three I found on 14 October 2026, while reviewing this article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25" w:name="_results"/>
      <w:r>
        <w:t xml:space="preserve">Results</w:t>
      </w:r>
      <w:bookmarkEnd w:id="25"/>
    </w:p>
    <w:p>
      <w:pPr>
        <w:pStyle w:val="FirstParagraph"/>
      </w:pPr>
      <w:r>
        <w:t xml:space="preserve">The results in this section are the registered tests, exactly as the frozen analysis code wrote them. Where the code prints a verdict that the registered text does not test, the text says so.</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and κ is given only where both truth values have at least 3 games. The code’s identifiers are kept. On MiniGrid/BabyAI,</w:t>
      </w:r>
      <w:r>
        <w:t xml:space="preserve"> </w:t>
      </w:r>
      <w:r>
        <w:t xml:space="preserve">“macro”</w:t>
      </w:r>
      <w:r>
        <w:t xml:space="preserve"> </w:t>
      </w:r>
      <w:r>
        <w:t xml:space="preserve">is absolute moves and</w:t>
      </w:r>
      <w:r>
        <w:t xml:space="preserve"> </w:t>
      </w:r>
      <w:r>
        <w:t xml:space="preserve">“raw”</w:t>
      </w:r>
      <w:r>
        <w:t xml:space="preserve"> </w:t>
      </w:r>
      <w:r>
        <w:t xml:space="preserve">primitive actions. On Procgen,</w:t>
      </w:r>
      <w:r>
        <w:t xml:space="preserve"> </w:t>
      </w:r>
      <w:r>
        <w:t xml:space="preserve">“center_off”</w:t>
      </w:r>
      <w:r>
        <w:t xml:space="preserve"> </w:t>
      </w:r>
      <w:r>
        <w:t xml:space="preserve">is the whole-level view and</w:t>
      </w:r>
      <w:r>
        <w:t xml:space="preserve"> </w:t>
      </w:r>
      <w:r>
        <w:t xml:space="preserve">“center_on”</w:t>
      </w:r>
      <w:r>
        <w:t xml:space="preserve"> </w:t>
      </w:r>
      <w:r>
        <w:t xml:space="preserve">the view centered on the agent,</w:t>
      </w:r>
      <w:r>
        <w:t xml:space="preserve"> </w:t>
      </w:r>
      <w:r>
        <w:t xml:space="preserve">“in_range”</w:t>
      </w:r>
      <w:r>
        <w:t xml:space="preserve"> </w:t>
      </w:r>
      <w:r>
        <w:t xml:space="preserve">is the nine games of the operating range, and</w:t>
      </w:r>
      <w:r>
        <w:t xml:space="preserve"> </w:t>
      </w:r>
      <w:r>
        <w:t xml:space="preserve">“camera_distinct”</w:t>
      </w:r>
      <w:r>
        <w:t xml:space="preserve"> </w:t>
      </w:r>
      <w:r>
        <w:t xml:space="preserve">the five games where the two views differ.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which the registered text only reports, the frozen code prints FAIL for R and I1,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The primitive-action lines are reported by the registered text, so the “FAIL” printed on their primary lines enters no outcome clause.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The primitive-action lines are reported by the registered text, so the</w:t>
      </w:r>
      <w:r>
        <w:t xml:space="preserve"> </w:t>
      </w:r>
      <w:r>
        <w:t xml:space="preserve">“FAIL”</w:t>
      </w:r>
      <w:r>
        <w:t xml:space="preserve"> </w:t>
      </w:r>
      <w:r>
        <w:t xml:space="preserve">printed on their primary lines enters no outcome clause.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in two parts with the same rows so that it fits the page: Table 2a gives each line and its verdict, Table 2b its statistics. The agents are R, my explorer, N, my planner (instrument check), and I1, the explorer of Rudakov et al. (2025). Lines marked</w:t>
      </w:r>
      <w:r>
        <w:t xml:space="preserve"> </w:t>
      </w:r>
      <w:r>
        <w:t xml:space="preserve">“primary”</w:t>
      </w:r>
      <w:r>
        <w:t xml:space="preserve"> </w:t>
      </w:r>
      <w:r>
        <w:t xml:space="preserve">exclude the environments of Appendix B,</w:t>
      </w:r>
      <w:r>
        <w:t xml:space="preserve"> </w:t>
      </w:r>
      <w:r>
        <w:t xml:space="preserve">“primary, D9b included”</w:t>
      </w:r>
      <w:r>
        <w:t xml:space="preserve"> </w:t>
      </w:r>
      <w:r>
        <w:t xml:space="preserve">puts back the exclusions specific to I1, and</w:t>
      </w:r>
      <w:r>
        <w:t xml:space="preserve"> </w:t>
      </w:r>
      <w:r>
        <w:t xml:space="preserve">“all games”</w:t>
      </w:r>
      <w:r>
        <w:t xml:space="preserve"> </w:t>
      </w:r>
      <w:r>
        <w:t xml:space="preserve">includes every environment. auroc_B is the AUROC of the nuisance baseline, ci_low and ci_high the 95% bootstrap interval, and balanced_acc the balanced accuracy of the conjunctive prediction. Condition identifiers are as in Table 1;</w:t>
      </w:r>
      <w:r>
        <w:t xml:space="preserve"> </w:t>
      </w:r>
      <w:r>
        <w:t xml:space="preserve">“native”</w:t>
      </w:r>
      <w:r>
        <w:t xml:space="preserve"> </w:t>
      </w:r>
      <w:r>
        <w:t xml:space="preserve">is ARC-AGI-3.</w:t>
      </w:r>
    </w:p>
    <w:p>
      <w:pPr>
        <w:pStyle w:val="BodyText"/>
      </w:pPr>
      <w:r>
        <w:rPr>
          <w:b/>
          <w:bCs/>
        </w:rPr>
        <w:t xml:space="preserve">Table 2a.</w:t>
      </w:r>
      <w:r>
        <w:t xml:space="preserve"> </w:t>
      </w:r>
      <w:r>
        <w:t xml:space="preserve">The V2 lines and their verdicts.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reported, not tested</w:t>
            </w:r>
          </w:p>
        </w:tc>
      </w:tr>
    </w:tbl>
    <w:p>
      <w:pPr>
        <w:pStyle w:val="FirstParagraph"/>
      </w:pPr>
      <w:r>
        <w:rPr>
          <w:b/>
          <w:bCs/>
        </w:rPr>
        <w:t xml:space="preserve">Table 2b.</w:t>
      </w:r>
      <w:r>
        <w:t xml:space="preserve"> </w:t>
      </w:r>
      <w:r>
        <w:t xml:space="preserve">The statistics of the same lines, in the same order.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1"/>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an exploratory script that calls the frozen analysis functions unchanged; the script and its output are named in the data and code availability section. Two consistency checks come first, and both are exploratory. The census verdict stored in each of the 3,500 planner rows equals the verdict recomputed from that row’s report, with 0 mismatches.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w:t>
      </w:r>
    </w:p>
    <w:p>
      <w:pPr>
        <w:pStyle w:val="BodyText"/>
      </w:pPr>
      <w:r>
        <w:t xml:space="preserve">In the same exploratory counts, the negative κ values for A5 come mostly from</w:t>
      </w:r>
      <w:r>
        <w:t xml:space="preserve"> </w:t>
      </w:r>
      <w:r>
        <w:t xml:space="preserve">“undetermined”</w:t>
      </w:r>
      <w:r>
        <w:t xml:space="preserve">. The registered κ maps an undetermined verdict to the value opposite the truth. The cell</w:t>
      </w:r>
      <w:r>
        <w:t xml:space="preserve"> </w:t>
      </w:r>
      <w:r>
        <w:t xml:space="preserve">“truth fails, census holds”</w:t>
      </w:r>
      <w:r>
        <w:t xml:space="preserve"> </w:t>
      </w:r>
      <w:r>
        <w:t xml:space="preserve">used by κ therefore contains 23 census</w:t>
      </w:r>
      <w:r>
        <w:t xml:space="preserve"> </w:t>
      </w:r>
      <w:r>
        <w:t xml:space="preserve">“holds”</w:t>
      </w:r>
      <w:r>
        <w:t xml:space="preserve"> </w:t>
      </w:r>
      <w:r>
        <w:t xml:space="preserve">and 61 undetermined games under absolute moves (84 in all). It contains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1"/>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The method was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the Open Science Framework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1"/>
      </w:pPr>
      <w:bookmarkStart w:id="40" w:name="_discussion"/>
      <w:r>
        <w:t xml:space="preserve">Discussion</w:t>
      </w:r>
      <w:bookmarkEnd w:id="40"/>
    </w:p>
    <w:p>
      <w:pPr>
        <w:pStyle w:val="Heading2"/>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By the registered outcome table, a V1 failure on any suite decides the outcome by itself, whatever V2 shows. A prediction built on a score that does not measure what it names would also be hard to interpret even if it had passed.</w:t>
      </w:r>
    </w:p>
    <w:p>
      <w:pPr>
        <w:pStyle w:val="Heading2"/>
      </w:pPr>
      <w:bookmarkStart w:id="42" w:name="_6c0e0c8f95d8091ff4d0e587f49a4329c88263d"/>
      <w:r>
        <w:t xml:space="preserve">Why the failure could not show on ARC-AGI-3</w:t>
      </w:r>
      <w:bookmarkEnd w:id="42"/>
    </w:p>
    <w:p>
      <w:pPr>
        <w:pStyle w:val="FirstParagraph"/>
      </w:pPr>
      <w:r>
        <w:t xml:space="preserve">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2"/>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44" w:name="_d669e95fd87e269eab3571ac5d4ddb40788494e"/>
      <w:r>
        <w:t xml:space="preserve">The nuisance baseline</w:t>
      </w:r>
      <w:bookmarkEnd w:id="44"/>
    </w:p>
    <w:p>
      <w:pPr>
        <w:pStyle w:val="FirstParagraph"/>
      </w:pPr>
      <w:r>
        <w:t xml:space="preserve">On all six primary MiniGrid/BabyAI lines, a logistic regression on grid area, action count and color count ranked the games by first-level completion better than the census score did.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w:t>
      </w:r>
    </w:p>
    <w:p>
      <w:pPr>
        <w:pStyle w:val="Heading2"/>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each with care, and never checked on any game, before registration, that one estimated the other.</w:t>
      </w:r>
    </w:p>
    <w:p>
      <w:pPr>
        <w:pStyle w:val="Heading2"/>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2"/>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2"/>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read from the games’ rule files, and agreed poorly with controller performance, although a selection agent built on two of them beat its constituent controllers on the same games.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The protocol therefore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G instead concerns a learner’s own goal. G was withdrawn without being measured.</w:t>
      </w:r>
    </w:p>
    <w:p>
      <w:pPr>
        <w:pStyle w:val="BodyText"/>
      </w:pPr>
      <w:r>
        <w:t xml:space="preserve">Among agents for ARC-AGI-3, Rudakov et al. (2025) published the graph-based explorer used here as I1. Liew (2026) classifies the public games by the simplest strategy without reasoning that reaches a level. That classification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for which G was defined. The two further suites are those of Chevalier-Boisvert et al. (2019) and Cobbe et al. (2020).</w:t>
      </w:r>
    </w:p>
    <w:p>
      <w:pPr>
        <w:pStyle w:val="Heading1"/>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on MiniGrid/BabyAI a baseline built from the size and variety of the environments ranked them better than the census did. The registered consequence followed: a refutation, with no method article. What remains is the record of a test that worked as designed and an instrument that did not.</w:t>
      </w:r>
    </w:p>
    <w:p>
      <w:pPr>
        <w:pStyle w:val="Heading1"/>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exploratory diagnosis is runs/exploratory/v1_diagnosis.json, written by scripts/explore_v1_diagnosis.py at commit f43526a, and the ARC-AGI-3 split, with the move of dc22, is in docs/HELDOUT.md.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under embargo until 30 June 2030, and their registered texts are in the repository. The directory external/rudakov_just_explore, which holds the agent I1, is not covered by the repository’s license and keeps the upstream MIT notice of its own authors.</w:t>
      </w:r>
    </w:p>
    <w:p>
      <w:pPr>
        <w:pStyle w:val="BodyText"/>
      </w:pPr>
      <w:r>
        <w:t xml:space="preserve">A preprint of this article is on OSF Preprints under CC-BY 4.0: DOI [to be inserted]</w:t>
      </w:r>
    </w:p>
    <w:p>
      <w:pPr>
        <w:pStyle w:val="Heading1"/>
      </w:pPr>
      <w:bookmarkStart w:id="51" w:name="_funding"/>
      <w:r>
        <w:t xml:space="preserve">Funding</w:t>
      </w:r>
      <w:bookmarkEnd w:id="51"/>
    </w:p>
    <w:p>
      <w:pPr>
        <w:pStyle w:val="FirstParagraph"/>
      </w:pPr>
      <w:r>
        <w:t xml:space="preserve">This research received no funding.</w:t>
      </w:r>
    </w:p>
    <w:p>
      <w:pPr>
        <w:pStyle w:val="Heading1"/>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1"/>
      </w:pPr>
      <w:bookmarkStart w:id="53" w:name="_references"/>
      <w:r>
        <w:t xml:space="preserve">References</w:t>
      </w:r>
      <w:bookmarkEnd w:id="53"/>
    </w:p>
    <w:p>
      <w:pPr>
        <w:pStyle w:val="FirstParagraph"/>
      </w:pPr>
      <w:r>
        <w:t xml:space="preserve">Bellemare, M. G., Veness, J., &amp; Bowling, M. (2012). Investigating contingency awareness using Atari 2600 games.</w:t>
      </w:r>
      <w:r>
        <w:t xml:space="preserve"> </w:t>
      </w:r>
      <w:r>
        <w:rPr>
          <w:i/>
          <w:iCs/>
        </w:rPr>
        <w:t xml:space="preserve">Proceedings of the AAAI Conference on Artificial Intelligence</w:t>
      </w:r>
      <w:r>
        <w:t xml:space="preserve">,</w:t>
      </w:r>
      <w:r>
        <w:t xml:space="preserve"> </w:t>
      </w:r>
      <w:r>
        <w:rPr>
          <w:i/>
          <w:iCs/>
        </w:rPr>
        <w:t xml:space="preserve">26</w:t>
      </w:r>
      <w:r>
        <w:t xml:space="preserve">(1), 864–871. https://doi.org/10.1609/aaai.v26i1.8321</w:t>
      </w:r>
    </w:p>
    <w:p>
      <w:pPr>
        <w:pStyle w:val="BodyText"/>
      </w:pPr>
      <w:r>
        <w:t xml:space="preserve">Bertinetto, L., Henriques, J. F., Albanie, S., Paganini, M., &amp; Varol, G. (2021). Preface. In L. Bertinetto, J. F. Henriques, S. Albanie, M. Paganini, &amp; G. Varol (Eds.),</w:t>
      </w:r>
      <w:r>
        <w:t xml:space="preserve"> </w:t>
      </w:r>
      <w:r>
        <w:rPr>
          <w:i/>
          <w:iCs/>
        </w:rPr>
        <w:t xml:space="preserve">NeurIPS 2020 Workshop on Pre-registration in Machine Learning</w:t>
      </w:r>
      <w:r>
        <w:t xml:space="preserve"> </w:t>
      </w:r>
      <w:r>
        <w:t xml:space="preserve">(Proceedings of Machine Learning Research, Vol. 148, p. i). PMLR. https://proceedings.mlr.press/v148/bertinetto21a.html</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 https://proceedings.mlr.press/v37/blum15.html</w:t>
      </w:r>
    </w:p>
    <w:p>
      <w:pPr>
        <w:pStyle w:val="BodyText"/>
      </w:pPr>
      <w:r>
        <w:t xml:space="preserve">Bontrager, P., Khalifa, A., Mendes, A., &amp; Togelius, J. (2016). Matching games and algorithms for general video game playing.</w:t>
      </w:r>
      <w:r>
        <w:t xml:space="preserve"> </w:t>
      </w:r>
      <w:r>
        <w:rPr>
          <w:i/>
          <w:iCs/>
        </w:rPr>
        <w:t xml:space="preserve">Proceedings of the AAAI Conference on Artificial Intelligence and Interactive Digital Entertainment</w:t>
      </w:r>
      <w:r>
        <w:t xml:space="preserve">,</w:t>
      </w:r>
      <w:r>
        <w:t xml:space="preserve"> </w:t>
      </w:r>
      <w:r>
        <w:rPr>
          <w:i/>
          <w:iCs/>
        </w:rPr>
        <w:t xml:space="preserve">12</w:t>
      </w:r>
      <w:r>
        <w:t xml:space="preserve">(1),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https://openreview.net/forum?id=rJeXCo0cYX</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https://openreview.net/forum?id=HyxGB2AcY7</w:t>
      </w:r>
    </w:p>
    <w:p>
      <w:pPr>
        <w:pStyle w:val="BodyText"/>
      </w:pPr>
      <w:r>
        <w:t xml:space="preserve">Cobbe, K., Hesse, C., Hilton, J., &amp; Schulman, J. (2020). Leveraging procedural generation to benchmark reinforcement learning. In H. Daumé III &amp; A. Singh (Eds.),</w:t>
      </w:r>
      <w:r>
        <w:t xml:space="preserve"> </w:t>
      </w:r>
      <w:r>
        <w:rPr>
          <w:i/>
          <w:iCs/>
        </w:rPr>
        <w:t xml:space="preserve">Proceedings of the 37th International Conference on Machine Learning</w:t>
      </w:r>
      <w:r>
        <w:t xml:space="preserve"> </w:t>
      </w:r>
      <w:r>
        <w:t xml:space="preserve">(Proceedings of Machine Learning Research, Vol. 119, pp. 2048–2056). PMLR. https://proceedings.mlr.press/v119/cobbe20a.html</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w:t>
      </w:r>
      <w:r>
        <w:t xml:space="preserve"> </w:t>
      </w:r>
      <w:r>
        <w:rPr>
          <w:i/>
          <w:iCs/>
        </w:rPr>
        <w:t xml:space="preserve">Proceedings of the International Conference on Automated Planning and Scheduling</w:t>
      </w:r>
      <w:r>
        <w:t xml:space="preserve">,</w:t>
      </w:r>
      <w:r>
        <w:t xml:space="preserve"> </w:t>
      </w:r>
      <w:r>
        <w:rPr>
          <w:i/>
          <w:iCs/>
        </w:rPr>
        <w:t xml:space="preserve">24</w:t>
      </w:r>
      <w:r>
        <w:t xml:space="preserve">(1),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 https://papers.nips.cc/paper_files/paper/2019/hash/ee39e503b6bedf0c98c388b7e8589aca-Abstract.html</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 https://www.ijcai.org/Proceedings/16/Papers/464.pdf</w:t>
      </w:r>
    </w:p>
    <w:p>
      <w:pPr>
        <w:pStyle w:val="Heading1"/>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1"/>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docs/HELDOUT.md (4d2c02c); docs/PREREG.md (7d9205e); docs/STATE.md (350f68b);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(350f68b); git tag objects and git ls-tree (the tag objects themselves)</w:t>
            </w:r>
          </w:p>
        </w:tc>
      </w:tr>
      <w:tr>
        <w:tc>
          <w:tcPr/>
          <w:p>
            <w:pPr>
              <w:pStyle w:val="Compact"/>
            </w:pPr>
            <w:r>
              <w:t xml:space="preserve">date</w:t>
            </w:r>
          </w:p>
        </w:tc>
        <w:tc>
          <w:tcPr/>
          <w:p>
            <w:pPr>
              <w:pStyle w:val="Compact"/>
            </w:pPr>
            <w:r>
              <w:t xml:space="preserve">docs/HELDOUT.md (4d2c02c); docs/PREREG.md (7d9205e); docs/STATE.md (350f68b);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(350f68b); docs/manuscript/REVIEW_draft1.md (48931d2); docs/preprint/preprint.md (8bed48b); docs/preprint/references.bib (8bed48b)</w:t>
            </w:r>
          </w:p>
        </w:tc>
      </w:tr>
      <w:tr>
        <w:tc>
          <w:tcPr/>
          <w:p>
            <w:pPr>
              <w:pStyle w:val="Compact"/>
            </w:pPr>
            <w:r>
              <w:t xml:space="preserve">reference field, verdict word or ORCID</w:t>
            </w:r>
          </w:p>
        </w:tc>
        <w:tc>
          <w:tcPr/>
          <w:p>
            <w:pPr>
              <w:pStyle w:val="Compact"/>
            </w:pPr>
            <w:r>
              <w:t xml:space="preserve">docs/preprint/preprint.md (8bed48b); docs/preprint/references.bib (8bed48b); docs/tables/v1.json (bb0f1a1); docs/tables/v2.json (bb0f1a1)</w:t>
            </w:r>
          </w:p>
        </w:tc>
      </w:tr>
    </w:tbl>
    <w:p>
      <w:pPr>
        <w:pStyle w:val="Heading1"/>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2026-10-14T15:09:03Z</dcterms:created>
  <dcterms:modified xsi:type="dcterms:W3CDTF">2026-10-14T15:09:03Z</dcterms:modified>
</cp:coreProperties>
</file>

<file path=docProps/custom.xml><?xml version="1.0" encoding="utf-8"?>
<Properties xmlns="http://schemas.openxmlformats.org/officeDocument/2006/custom-properties" xmlns:vt="http://schemas.openxmlformats.org/officeDocument/2006/docPropsVTypes"/>
</file>