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4.png" ContentType="image/png"/>
  <Override PartName="/word/media/rId48.png" ContentType="image/png"/>
  <Override PartName="/word/media/rId51.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A Frame-Only Census of Game Mechanics Built on</w:t>
      </w:r>
      <w:r>
        <w:br/>
      </w:r>
      <w:r>
        <w:rPr>
          <w:lang w:val="en-US"/>
        </w:rPr>
        <w:t xml:space="preserve">ARC-AGI-3 Failed a Preregistered Generality Test on MiniGrid/BabyAI and Procgen</w:t>
      </w:r>
    </w:p>
    <w:p>
      <w:pPr>
        <w:pStyle w:val="Author"/>
      </w:pPr>
      <w:r>
        <w:rPr>
          <w:lang w:val="en-US"/>
        </w:rPr>
        <w:t xml:space="preserve">Rahul Kumar Mishra</w:t>
      </w:r>
    </w:p>
    <w:p>
      <w:pPr>
        <w:pStyle w:val="AuthorAddress"/>
      </w:pPr>
      <w:r>
        <w:rPr>
          <w:lang w:val="en-US"/>
        </w:rPr>
        <w:t xml:space="preserve">Independent Researcher, Ranchi, Jharkhand, India</w:t>
      </w:r>
    </w:p>
    <w:p>
      <w:pPr>
        <w:pStyle w:val="AuthorAddress"/>
      </w:pPr>
      <w:r>
        <w:rPr>
          <w:lang w:val="en-US"/>
        </w:rPr>
        <w:t xml:space="preserve">ORCID 0009-0004-9671-4055</w:t>
      </w:r>
    </w:p>
    <w:p>
      <w:pPr>
        <w:pStyle w:val="AuthorAddress"/>
      </w:pPr>
      <w:r>
        <w:rPr>
          <w:lang w:val="en-US"/>
        </w:rPr>
        <w:t xml:space="preserve">mishra.rahul98@gmail.com</w:t>
      </w:r>
    </w:p>
    <w:p>
      <w:pPr>
        <w:pStyle w:val="AbstractTitle"/>
      </w:pPr>
      <w:r>
        <w:rPr>
          <w:lang w:val="en-US"/>
        </w:rPr>
        <w:t xml:space="preserve">Abstract</w:t>
      </w:r>
    </w:p>
    <w:p>
      <w:pPr>
        <w:pStyle w:val="AbstractText"/>
      </w:pPr>
      <w:r>
        <w:rPr>
          <w:lang w:val="en-US"/>
        </w:rPr>
        <w:t xml:space="preserve">A general agent that meets an unseen game must learn from interaction how the game works. I asked whether a cheap description of a game's mechanics, read from frames before any agent is chosen, carries over from the benchmark it was built on to other benchmarks. Before any confirmatory run, I registered the claim that a fixed battery of frame-only probes, the assumption census, with every parameter frozen on eight ARC-AGI-3 games, would report five mechanical assumptions of unseen games as each game's source code states them, and would predict on which games assumption-driven frame-only agents complete the first level. Test V1 compared the census with source-derived truth tables; test V2 compared a census score with first-level completion by three agents. The census and the agents ran on 161 MiniGrid/BabyAI environments under two action conditions and on 14 Procgen games, 10,500 runs in all. By the registered outcome table the result is a refutation, under the clause "V1 fails on any suite". V1 failed for three or four of the five assumptions on each tested suite and condition, and no agent passed V2. On all six primary MiniGrid/BabyAI lines, a baseline fitted in-sample on grid area, action count and color count ranked the games better than the census. An exploratory reading suggests that for four assumptions the probes and the truth definitions were different constructs. An instrument never scored against known truth where its parameters were set brought no evidence of generality to the other benchmarks.</w:t>
      </w:r>
    </w:p>
    <w:p>
      <w:pPr>
        <w:pStyle w:val="AbstractText"/>
      </w:pPr>
      <w:r>
        <w:rPr>
          <w:b/>
          <w:bCs/>
          <w:lang w:val="en-US"/>
        </w:rPr>
        <w:t xml:space="preserve">Keywords:</w:t>
      </w:r>
      <w:r>
        <w:rPr>
          <w:lang w:val="en-US"/>
        </w:rPr>
        <w:t xml:space="preserve"> </w:t>
      </w:r>
      <w:r>
        <w:rPr>
          <w:lang w:val="en-US"/>
        </w:rPr>
        <w:t xml:space="preserve">preregistration; generality; frame-only agents; benchmark transfer; negative result; MiniGrid, Procgen, ARC-AGI-3</w:t>
      </w:r>
    </w:p>
    <w:p>
      <w:pPr>
        <w:pStyle w:val="Heading1"/>
      </w:pPr>
      <w:bookmarkStart w:id="20" w:name="_introduction"/>
      <w:r>
        <w:rPr>
          <w:lang w:val="en-US"/>
        </w:rPr>
        <w:t xml:space="preserve">1 Introduction</w:t>
      </w:r>
      <w:bookmarkEnd w:id="20"/>
    </w:p>
    <w:p>
      <w:pPr>
        <w:pStyle w:val="FirstParagraph"/>
      </w:pPr>
      <w:r>
        <w:rPr>
          <w:lang w:val="en-US"/>
        </w:rPr>
        <w:t xml:space="preserve">A general agent has to cope with environments it has not seen. One definition takes intelligence to be an agent's ability to achieve goals in a wide range of environments (Legg and Hutter, 2007). Game benchmarks turn that idea into a test. The first General Video Game Playing Competition asked for a single agent that can play many different games, some of them unknown to the entrants when they submitted, and left it to the agents to discover the mechanics of each game (Perez-Liebana et al., 2016). This article is about one small part of that problem: whether the mechanics of an unseen game can be described cheaply, from the screen alone, by an instrument that was built on a different benchmark.</w:t>
      </w:r>
    </w:p>
    <w:p>
      <w:pPr>
        <w:pStyle w:val="BodyText"/>
      </w:pPr>
      <w:r>
        <w:rPr>
          <w:lang w:val="en-US"/>
        </w:rPr>
        <w:t xml:space="preserve">The agents in question are frame-only. Such an agent sees the picture on the screen and is told when a level or the game ends, and nothing more. It receives no score, no list of objects, no text and no access to the game's code, and it chooses an action from a fixed set after each frame. The agents studied here also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predict where such agents will finish the first level, and choose or build agents accordingly. The same description would also tell an evaluator whether the games of a new benchmark share the mechanics that a family of agents relies on.</w:t>
      </w:r>
    </w:p>
    <w:p>
      <w:pPr>
        <w:pStyle w:val="BodyText"/>
      </w:pPr>
      <w:r>
        <w:rPr>
          <w:lang w:val="en-US"/>
        </w:rPr>
        <w:t xml:space="preserve">The assumption census was meant to supply that description.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rPr>
          <w:lang w:val="en-US"/>
        </w:rPr>
        <w:t xml:space="preserve">The question of generality is built into how the census was made. I set its parameters while developing a planner on eight of the 25 public games of ARC-AGI-3 (ARC Prize Foundation, 2026), and I then froze them. The registered protocol states that ARC-AGI-3 "is the development instance and does not count toward generality". Generality was to be shown on two benchmarks the census had never been tuned on: MiniGrid/BabyAI, which joins MiniGrid (Chevalier-Boisvert et al., 2023) and BabyAI (Chevalier-Boisvert et al., 2019), and Procgen (Cobbe et al., 2020). The registered test V1 decides, per assumption, whether the census describes the mechanics of games from those benchmarks as their source code states them.</w:t>
      </w:r>
    </w:p>
    <w:p>
      <w:pPr>
        <w:pStyle w:val="BodyText"/>
      </w:pPr>
      <w:r>
        <w:rPr>
          <w:lang w:val="en-US"/>
        </w:rPr>
        <w:t xml:space="preserve">I preregistered the claim because it is easy to fool oneself with an instrument of this kind.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w:t>
      </w:r>
    </w:p>
    <w:p>
      <w:pPr>
        <w:pStyle w:val="BodyText"/>
      </w:pPr>
      <w:r>
        <w:rPr>
          <w:lang w:val="en-US"/>
        </w:rPr>
        <w:t xml:space="preserve">The outcome, by the registered outcome table, is a refutation: the census failed the validity test V1 on both confirmatory benchmarks, and no agent passed the prediction test V2 on any of them. Section 2 places the study among earlier work, Section 3 gives the method and every departure from the registered protocol, Section 4 the registered results, Section 5 an exploratory diagnosis written after the outcome, and Section 6 what the failure means for claims of generality.</w:t>
      </w:r>
    </w:p>
    <w:p>
      <w:pPr>
        <w:pStyle w:val="Heading1"/>
      </w:pPr>
      <w:bookmarkStart w:id="21" w:name="_background"/>
      <w:r>
        <w:rPr>
          <w:lang w:val="en-US"/>
        </w:rPr>
        <w:t xml:space="preserve">2 Background</w:t>
      </w:r>
      <w:bookmarkEnd w:id="21"/>
    </w:p>
    <w:p>
      <w:pPr>
        <w:pStyle w:val="FirstParagraph"/>
      </w:pPr>
      <w:r>
        <w:rPr>
          <w:lang w:val="en-US"/>
        </w:rPr>
        <w:t xml:space="preserve">Whether a description of game mechanics built on one set of environments holds on another touches six lines of earlier work: general game playing, the measurement of general intelligence, the ARC benchmarks, finding the controlled object from frames, holdout reuse, and preregistration. The last subsection describes the closest earlier attempt to predict agent success from game mechanics, which also failed.</w:t>
      </w:r>
    </w:p>
    <w:p>
      <w:pPr>
        <w:pStyle w:val="Heading2"/>
      </w:pPr>
      <w:bookmarkStart w:id="22" w:name="_88f9375c04de9965e41309f57a56afcab66918e"/>
      <w:r>
        <w:rPr>
          <w:lang w:val="en-US"/>
        </w:rPr>
        <w:t xml:space="preserve">2.1 General Game Playing and GVGAI</w:t>
      </w:r>
      <w:bookmarkEnd w:id="22"/>
    </w:p>
    <w:p>
      <w:pPr>
        <w:pStyle w:val="FirstParagraph"/>
      </w:pPr>
      <w:r>
        <w:rPr>
          <w:lang w:val="en-US"/>
        </w:rPr>
        <w:t xml:space="preserve">Genesereth et al. (2005) define a general game playing system as one that can accept a formal description of a game and play it effectively without human intervention, and contrast it with specialized players that rely on algorithms designed in advance for specific games. Their agents receive the rules. The General Video Game AI framework moved the problem toward games whose rules the agent is not shown. Its organizers presented the competition as an approximation of general artificial intelligence, because the amount of game-dependent heuristics had to be severely limited (Perez-Liebana et al., 2016). Five years after the framework was released, Perez-Liebana et al. (2019) describe it as games written in the Video Game Description Language and a set of tracks in which agents play unknown games with or without access to a simulation of the game, or design new levels or rules. The agents studied here sit at the end of that range with the least information: they have no rules, no simulation and no score, only frames and the signal that a level has ended.</w:t>
      </w:r>
    </w:p>
    <w:p>
      <w:pPr>
        <w:pStyle w:val="Heading2"/>
      </w:pPr>
      <w:bookmarkStart w:id="23" w:name="_926ddec7542d3461613822d2528bc2cfe194141"/>
      <w:r>
        <w:rPr>
          <w:lang w:val="en-US"/>
        </w:rPr>
        <w:t xml:space="preserve">2.2 Measuring General Intelligence and Designing Benchmarks</w:t>
      </w:r>
      <w:bookmarkEnd w:id="23"/>
    </w:p>
    <w:p>
      <w:pPr>
        <w:pStyle w:val="FirstParagraph"/>
      </w:pPr>
      <w:r>
        <w:rPr>
          <w:lang w:val="en-US"/>
        </w:rPr>
        <w:t xml:space="preserve">Legg and Hutter (2007) took as their informal working definition that intelligence measures an agent's ability to achieve goals in a wide range of environments, and turned it into a formal measure for arbitrary machines. Chollet (2019) argues that skill at any given task falls short of measuring intelligence, because unlimited priors or training data can buy arbitrary levels of skill, defines intelligence as skill-acquisition efficiency, and presents the Abstraction and Reasoning Corpus (ARC), a benchmark built on an explicit set of priors designed to be close to innate human priors. The first ties the meaning of a measure of intelligence to the range of environments it covers, and the second also to the priors and experience an agent brings to them. The census is a much narrower thing, a description of the environments themselves, but it raises the same question: whether a description that was checked on one set of environments means the same on another.</w:t>
      </w:r>
    </w:p>
    <w:p>
      <w:pPr>
        <w:pStyle w:val="Heading2"/>
      </w:pPr>
      <w:bookmarkStart w:id="24" w:name="_aa0c793357ebf9483873785df8cde4cc93128b8"/>
      <w:r>
        <w:rPr>
          <w:lang w:val="en-US"/>
        </w:rPr>
        <w:t xml:space="preserve">2.3 ARC and ARC-AGI-3</w:t>
      </w:r>
      <w:bookmarkEnd w:id="24"/>
    </w:p>
    <w:p>
      <w:pPr>
        <w:pStyle w:val="FirstParagraph"/>
      </w:pPr>
      <w:r>
        <w:rPr>
          <w:lang w:val="en-US"/>
        </w:rPr>
        <w:t xml:space="preserve">ARC-AGI-3 is an interactive benchmark of turn-based environments that come without explicit instructions; each environment is a series of levels, and at each turn the agent sees a frame, a grid of 64 by 64 cells in 16 possible colors, and takes one action (ARC Prize Foundation, 2026). Its public demonstration set has 25 environments, and the report states that this set does not cover all the mechanics found in the private set. Those 25 public games were the development instance of this study, and here each was played from frames and level-end signals alone. Rudakov et al. (2025) published a graph-based explorer for these games, which is one of the agents used here. Liew (2026) classifies the public games by the simplest strategy without reasoning that reaches a level, a classification that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studied here.</w:t>
      </w:r>
    </w:p>
    <w:p>
      <w:pPr>
        <w:pStyle w:val="Heading2"/>
      </w:pPr>
      <w:bookmarkStart w:id="25" w:name="_968074f1eacb98ebcc193bfe1501d76605f2632"/>
      <w:r>
        <w:rPr>
          <w:lang w:val="en-US"/>
        </w:rPr>
        <w:t xml:space="preserve">2.4 Contingency and the Controlled Object</w:t>
      </w:r>
      <w:bookmarkEnd w:id="25"/>
    </w:p>
    <w:p>
      <w:pPr>
        <w:pStyle w:val="FirstParagraph"/>
      </w:pPr>
      <w:r>
        <w:rPr>
          <w:lang w:val="en-US"/>
        </w:rPr>
        <w:t xml:space="preserve">A general agent placed in an unseen game must first find what it controls, and the census builds on earlier work that does this from frames alone.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 A2 adds a weight-free test that the controlled region moves by a consistent displacement for each key.</w:t>
      </w:r>
    </w:p>
    <w:p>
      <w:pPr>
        <w:pStyle w:val="Heading2"/>
      </w:pPr>
      <w:bookmarkStart w:id="26" w:name="_23074a32663eca1b28862abe41405282a0a28c5"/>
      <w:r>
        <w:rPr>
          <w:lang w:val="en-US"/>
        </w:rPr>
        <w:t xml:space="preserve">2.5 Holdout Reuse</w:t>
      </w:r>
      <w:bookmarkEnd w:id="26"/>
    </w:p>
    <w:p>
      <w:pPr>
        <w:pStyle w:val="FirstParagraph"/>
      </w:pPr>
      <w:r>
        <w:rPr>
          <w:lang w:val="en-US"/>
        </w:rPr>
        <w:t xml:space="preserve">A claim that a method carries across environments is only as good as the separation between the environments used to build it and those used to test it. When the same held-out set is consulted again and again while choices are made, choices can come to fit it (Blum and Hardt, 2015). Roelofs et al. (2019) measured this effect across many machine learning competitions and found little of it. The study kept a fixed split of the ARC-AGI-3 games for that reason, and kept the two confirmatory benchmarks out of development altogether.</w:t>
      </w:r>
    </w:p>
    <w:p>
      <w:pPr>
        <w:pStyle w:val="Heading2"/>
      </w:pPr>
      <w:bookmarkStart w:id="27" w:name="_f234b4fc69c6c9bfc3d1bb7022ee0fc40b56df0"/>
      <w:r>
        <w:rPr>
          <w:lang w:val="en-US"/>
        </w:rPr>
        <w:t xml:space="preserve">2.6 Preregistration in Machine Learning</w:t>
      </w:r>
      <w:bookmarkEnd w:id="27"/>
    </w:p>
    <w:p>
      <w:pPr>
        <w:pStyle w:val="FirstParagraph"/>
      </w:pPr>
      <w:r>
        <w:rPr>
          <w:lang w:val="en-US"/>
        </w:rPr>
        <w:t xml:space="preserve">A claim of generality written after the data are in can be fitted to them, and preregistration removes that freedom. Bertinetto et al. (2021) describe a model of preregistration for machine learning research, in which the experimental protocol is fixed and reviewed before the experiments are run. The protocol of this study follows that model without the review: it was fixed, tagged in the repository and registered on the Open Science Framework before any confirmatory game was played.</w:t>
      </w:r>
    </w:p>
    <w:p>
      <w:pPr>
        <w:pStyle w:val="Heading2"/>
      </w:pPr>
      <w:bookmarkStart w:id="28" w:name="_c89f13c14fd18765cedef3491ee8c5b0cf69c84"/>
      <w:r>
        <w:rPr>
          <w:lang w:val="en-US"/>
        </w:rPr>
        <w:t xml:space="preserve">2.7 The Prior Negative Result</w:t>
      </w:r>
      <w:bookmarkEnd w:id="28"/>
    </w:p>
    <w:p>
      <w:pPr>
        <w:pStyle w:val="FirstParagraph"/>
      </w:pPr>
      <w:r>
        <w:rPr>
          <w:lang w:val="en-US"/>
        </w:rP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and its prediction target, first-level completion by a stated class of agents that rely on the assumptions, is tested as V2, registered before any run.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Heading1"/>
      </w:pPr>
      <w:bookmarkStart w:id="29" w:name="_method"/>
      <w:r>
        <w:rPr>
          <w:lang w:val="en-US"/>
        </w:rPr>
        <w:t xml:space="preserve">3 Method</w:t>
      </w:r>
      <w:bookmarkEnd w:id="29"/>
    </w:p>
    <w:p>
      <w:pPr>
        <w:pStyle w:val="FirstParagraph"/>
      </w:pPr>
      <w:r>
        <w:rPr>
          <w:lang w:val="en-US"/>
        </w:rPr>
        <w:t xml:space="preserve">The method fixes the answer to the generality question in advance: an instrument frozen on one benchmark, two benchmarks it never saw, truth read from their source code, and tests registered before any run. This section describes the instrument, the benchmarks and how each was presented to it, the truth tables, the agents, the registration, the tests, the exclusions, the runs and the checks, and ends with every departure from the registered protocol. The file and line of each registered constant, the full amendment trail, the exclusion lists and the hashes of the frozen files are in the supplement.</w:t>
      </w:r>
    </w:p>
    <w:p>
      <w:pPr>
        <w:pStyle w:val="Heading2"/>
      </w:pPr>
      <w:bookmarkStart w:id="30" w:name="_b203eedc1a24176141b5778871a1fe0d9421d2e"/>
      <w:r>
        <w:rPr>
          <w:lang w:val="en-US"/>
        </w:rPr>
        <w:t xml:space="preserve">3.1 The Instrument</w:t>
      </w:r>
      <w:bookmarkEnd w:id="30"/>
    </w:p>
    <w:p>
      <w:pPr>
        <w:pStyle w:val="FirstParagraph"/>
      </w:pPr>
      <w:r>
        <w:rPr>
          <w:lang w:val="en-US"/>
        </w:rP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rPr>
          <w:lang w:val="en-US"/>
        </w:rP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rPr>
          <w:lang w:val="en-US"/>
        </w:rP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(Supplement, Section S.6), and the runner refused to start if any of them differed.</w:t>
      </w:r>
    </w:p>
    <w:p>
      <w:pPr>
        <w:pStyle w:val="BodyText"/>
      </w:pPr>
      <w:r>
        <w:rPr>
          <w:lang w:val="en-US"/>
        </w:rPr>
        <w:t xml:space="preserve">I set these parameters while developing the planner on eight ARC-AGI-3 training games. I kept the other 17 public games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protocol provided for a truth table derived from source for the eight development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w:t>
      </w:r>
    </w:p>
    <w:p>
      <w:pPr>
        <w:pStyle w:val="Heading2"/>
      </w:pPr>
      <w:bookmarkStart w:id="31" w:name="_1bbf1a5898adee6ce45e7d0e5aabe37c95a374f"/>
      <w:r>
        <w:rPr>
          <w:lang w:val="en-US"/>
        </w:rPr>
        <w:t xml:space="preserve">3.2 The Benchmarks and How Each Is Presented</w:t>
      </w:r>
      <w:bookmarkEnd w:id="31"/>
    </w:p>
    <w:p>
      <w:pPr>
        <w:pStyle w:val="FirstParagraph"/>
      </w:pPr>
      <w:r>
        <w:rPr>
          <w:lang w:val="en-US"/>
        </w:rPr>
        <w:t xml:space="preserve">The frozen code presses six key identifiers only, so every benchmark is presented to it through a fixed key map of at most six actions. On MiniGrid/BabyAI the environments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 "done" is offered in neither condition, and "drop" 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rPr>
          <w:lang w:val="en-US"/>
        </w:rP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rPr>
          <w:lang w:val="en-US"/>
        </w:rP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32" w:name="_0b8188f470276749243eb734f3fc59df7237cff"/>
      <w:r>
        <w:rPr>
          <w:lang w:val="en-US"/>
        </w:rPr>
        <w:t xml:space="preserve">3.3 Truth from Source</w:t>
      </w:r>
      <w:bookmarkEnd w:id="32"/>
    </w:p>
    <w:p>
      <w:pPr>
        <w:pStyle w:val="FirstParagraph"/>
      </w:pPr>
      <w:r>
        <w:rPr>
          <w:lang w:val="en-US"/>
        </w:rPr>
        <w:t xml:space="preserve">Each benchmark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33" w:name="_agents"/>
      <w:r>
        <w:rPr>
          <w:lang w:val="en-US"/>
        </w:rPr>
        <w:t xml:space="preserve">3.4 Agents</w:t>
      </w:r>
      <w:bookmarkEnd w:id="33"/>
    </w:p>
    <w:p>
      <w:pPr>
        <w:pStyle w:val="FirstParagraph"/>
      </w:pPr>
      <w:r>
        <w:rPr>
          <w:lang w:val="en-US"/>
        </w:rP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34" w:name="_cfcd0a61e0a3f0cb37c9f278fabb21495596900"/>
      <w:r>
        <w:rPr>
          <w:lang w:val="en-US"/>
        </w:rPr>
        <w:t xml:space="preserve">3.5 Registration and Amendment Trail</w:t>
      </w:r>
      <w:bookmarkEnd w:id="34"/>
    </w:p>
    <w:p>
      <w:pPr>
        <w:pStyle w:val="FirstParagraph"/>
      </w:pPr>
      <w:r>
        <w:rPr>
          <w:lang w:val="en-US"/>
        </w:rP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benchmarks and their splits between pilot and confirmatory games, the seeds and budget, the tests and thresholds, the analysis code and the outcome table. The registered claim, in the OSF text, reads:</w:t>
      </w:r>
    </w:p>
    <w:p>
      <w:pPr>
        <w:pStyle w:val="BlockText"/>
      </w:pPr>
      <w:r>
        <w:rPr>
          <w:lang w:val="en-US"/>
        </w:rP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FirstParagraph"/>
      </w:pPr>
      <w:r>
        <w:rPr>
          <w:lang w:val="en-US"/>
        </w:rPr>
        <w:t xml:space="preserve">The claim sentence differs in wording between the two registered texts of v1. The git-tagged protocol names the goal-identification cost G as part of the battery and says "in three suites". The OSF text describes G as "measured and reported alongside, not tested" and names no number of suites. The tests, thresholds and outcome table are the same in both.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so the protocol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whereas G concerns a learner's own goal.</w:t>
      </w:r>
    </w:p>
    <w:p>
      <w:pPr>
        <w:pStyle w:val="BodyText"/>
      </w:pPr>
      <w:r>
        <w:rPr>
          <w:lang w:val="en-US"/>
        </w:rP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have been public since 14 October 2026, when I ended their embargoes. I wrote version v1.2 after the outcome and tagged it prereg-v1.2 on commit 66e560645d9d98bca39ee7da9b1039ada1bc579b on 13 October 2026.</w:t>
      </w:r>
    </w:p>
    <w:p>
      <w:pPr>
        <w:pStyle w:val="BodyText"/>
      </w:pPr>
      <w:r>
        <w:rPr>
          <w:lang w:val="en-US"/>
        </w:rPr>
        <w:t xml:space="preserve">The amendment trail has 16 entries, D1 to D16, given in full in Supplement, Section S.3. D1 to D15 form the v1.1 diff, written on 27 September 2026 after the pilot and before any confirmatory game was played. D1 to D4 fix how each benchmark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35" w:name="_92fa1857840f0143e9d2441ace2ea38fd674358"/>
      <w:r>
        <w:rPr>
          <w:lang w:val="en-US"/>
        </w:rPr>
        <w:t xml:space="preserve">3.6 Tests and Thresholds</w:t>
      </w:r>
      <w:bookmarkEnd w:id="35"/>
    </w:p>
    <w:p>
      <w:pPr>
        <w:pStyle w:val="FirstParagraph"/>
      </w:pPr>
      <w:r>
        <w:rPr>
          <w:lang w:val="en-US"/>
        </w:rPr>
        <w:t xml:space="preserve">Test V1, instrument validity, compares the census's game verdict with the truth table, per benchmark, condition and assumption, over the confirmatory games. It passes when the share of agreeing games is at least 0.90 and Cohen's kappa is at least 0.70. It fails when agreement is below 0.75, and anything between is "neither". kappa is computed only where both truth values have at least 3 games; elsewhere agreement decides alone. An undetermined census verdict never counts as agreement, and for kappa it is mapped to the value opposite the truth. That treatment of "undetermined" is in the registered text, which reads "An 'undetermined' census never agrees. For [kappa] it is mapped to the value opposite the truth." (The registered text has the Greek letter where the brackets stand.) The frozen analysis code at the tag implements the same rule.</w:t>
      </w:r>
    </w:p>
    <w:p>
      <w:pPr>
        <w:pStyle w:val="BodyText"/>
      </w:pPr>
      <w:r>
        <w:rPr>
          <w:lang w:val="en-US"/>
        </w:rPr>
        <w:t xml:space="preserve">Test V2, predictive validity, works per benchmark,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rPr>
          <w:lang w:val="en-US"/>
        </w:rP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benchmark fails V2 when every non-void evidence agent fails. On MiniGrid/BabyAI the registered text tests V2 under absolute moves and reports it under primitive actions. On ARC-AGI-3, V2 on the 17 held-out games is reported and not tested.</w:t>
      </w:r>
    </w:p>
    <w:p>
      <w:pPr>
        <w:pStyle w:val="BodyText"/>
      </w:pPr>
      <w:r>
        <w:rPr>
          <w:lang w:val="en-US"/>
        </w:rPr>
        <w:t xml:space="preserve">Test V3, parameter transfer, requires every census constant and frozen file to be identical on every benchmark.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BodyText"/>
      </w:pPr>
      <w:r>
        <w:rPr>
          <w:lang w:val="en-US"/>
        </w:rPr>
        <w:t xml:space="preserve">The protocol fixed three outcomes and the venue that each would allow, before any confirmatory run. Support needed V1 to pass on both benchmarks and V2 to pass for R and I1. Partial needed V1 to pass everywhere with a weaker V2. Refute follows when V1 fails on any suite, or V2 fails on MiniGrid/BabyAI under absolute moves, or V2 is void on every suite. Its registered venue is "repository record only, at most an arXiv note". The table is reproduced in Section 4 (Table 3).</w:t>
      </w:r>
    </w:p>
    <w:p>
      <w:pPr>
        <w:pStyle w:val="Heading2"/>
      </w:pPr>
      <w:bookmarkStart w:id="36" w:name="_c5768e4841a9c56dbe87154b220c6809fec6ba8"/>
      <w:r>
        <w:rPr>
          <w:lang w:val="en-US"/>
        </w:rPr>
        <w:t xml:space="preserve">3.7 Exclusions from V2</w:t>
      </w:r>
      <w:bookmarkEnd w:id="36"/>
    </w:p>
    <w:p>
      <w:pPr>
        <w:pStyle w:val="FirstParagraph"/>
      </w:pPr>
      <w:r>
        <w:rPr>
          <w:lang w:val="en-US"/>
        </w:rP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Supplement, Section S.4.</w:t>
      </w:r>
    </w:p>
    <w:p>
      <w:pPr>
        <w:pStyle w:val="Heading2"/>
      </w:pPr>
      <w:bookmarkStart w:id="37" w:name="_1187481608c18c697ba2b770d6ce5ed284f1ea4"/>
      <w:r>
        <w:rPr>
          <w:lang w:val="en-US"/>
        </w:rPr>
        <w:t xml:space="preserve">3.8 Seeds, Budget and Caps</w:t>
      </w:r>
      <w:bookmarkEnd w:id="37"/>
    </w:p>
    <w:p>
      <w:pPr>
        <w:pStyle w:val="FirstParagraph"/>
      </w:pPr>
      <w:r>
        <w:rPr>
          <w:lang w:val="en-US"/>
        </w:rP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38" w:name="_b9be8f5f23c54bc3d5bc3528e419997d2d4e293"/>
      <w:r>
        <w:rPr>
          <w:lang w:val="en-US"/>
        </w:rPr>
        <w:t xml:space="preserve">3.9 Checks Before and After the Runs</w:t>
      </w:r>
      <w:bookmarkEnd w:id="38"/>
    </w:p>
    <w:p>
      <w:pPr>
        <w:pStyle w:val="FirstParagraph"/>
      </w:pPr>
      <w:r>
        <w:rPr>
          <w:lang w:val="en-US"/>
        </w:rP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39" w:name="_a016eb24157e82a6f1c3b01cfc1e7b17f42c3ef"/>
      <w:r>
        <w:rPr>
          <w:lang w:val="en-US"/>
        </w:rPr>
        <w:t xml:space="preserve">3.10 Deviations from the Registered Protocol</w:t>
      </w:r>
      <w:bookmarkEnd w:id="39"/>
    </w:p>
    <w:p>
      <w:pPr>
        <w:pStyle w:val="FirstParagraph"/>
      </w:pPr>
      <w:r>
        <w:rPr>
          <w:lang w:val="en-US"/>
        </w:rP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 "measured and reported alongside, not tested", and D16 withdrew G without measuring it, because the instrument it accompanies had failed V1.</w:t>
      </w:r>
    </w:p>
    <w:p>
      <w:pPr>
        <w:pStyle w:val="BodyText"/>
      </w:pPr>
      <w:r>
        <w:rPr>
          <w:lang w:val="en-US"/>
        </w:rPr>
        <w:t xml:space="preserve">The second concerns the venue. The registered consequence of a refutation is "repository record only, at most an arXiv note". On 13 October 2026, with no arXiv endorsement available to me, I recorded that the clause would be read as "at most a preprint" and that no journal submission would follow. After the preprint drafts of 14 October 2026 I reversed the second part and chose to seek peer review of the negative result. An earlier version of this article is a preprint on Zenodo, and this version is submitted to the Journal of Artificial General Intelligence. This changes no analysis and no number.</w:t>
      </w:r>
    </w:p>
    <w:p>
      <w:pPr>
        <w:pStyle w:val="BodyText"/>
      </w:pPr>
      <w:r>
        <w:rPr>
          <w:lang w:val="en-US"/>
        </w:rP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could have shown the failure before the confirmatory runs. It was not registered and I did not make it; I recorded it as a lesson on 13 October 2026. The fifth I found on 14 October 2026, while writing an earlier version of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rPr>
          <w:lang w:val="en-US"/>
        </w:rPr>
        <w:t xml:space="preserve">The last three I also found on 14 October 2026, while reviewing that earlier version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40" w:name="_results"/>
      <w:r>
        <w:rPr>
          <w:lang w:val="en-US"/>
        </w:rPr>
        <w:t xml:space="preserve">4 Results</w:t>
      </w:r>
      <w:bookmarkEnd w:id="40"/>
    </w:p>
    <w:p>
      <w:pPr>
        <w:pStyle w:val="FirstParagraph"/>
      </w:pPr>
      <w:r>
        <w:rPr>
          <w:lang w:val="en-US"/>
        </w:rPr>
        <w:t xml:space="preserve">The registered tests answer the two halves of the generality question: whether the census describes games from the other benchmarks (V1), and whether its score predicts first-level success there (V2). The results in this section are those tests, exactly as the frozen analysis code wrote them. Where the code prints a verdict that the registered text does not test, the text says so. The full tables, with every statistic, are in Supplement, Sections S.1 and S.2; Tables 1 and 2 here give only the verdict of each line.</w:t>
      </w:r>
    </w:p>
    <w:p>
      <w:pPr>
        <w:pStyle w:val="BodyText"/>
      </w:pPr>
      <w:r>
        <w:rPr>
          <w:lang w:val="en-US"/>
        </w:rP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 "neither", with agreement 0.8889, and A2 to A5 fail. The camera-on condition is reported and not tested. Cohen's kappa is negative for A5 under absolute moves (-0.4125), under primitive actions (-0.3374) and on Procgen (-0.7843), and for A4 under absolute moves (-0.0435).</w:t>
      </w:r>
    </w:p>
    <w:p>
      <w:pPr>
        <w:pStyle w:val="CaptionedFigure"/>
      </w:pPr>
      <w:r>
        <w:drawing>
          <wp:inline>
            <wp:extent cx="5486400" cy="3873556"/>
            <wp:effectExtent b="0" l="0" r="0" t="0"/>
            <wp:docPr descr="Grouped bar chart of V1 agreement for assumptions A1 to A5 on each benchmark and condition, with the two threshold lines. Only A1, and A2 under absolute moves, reach the pass line." title="" id="42" name="Picture"/>
            <a:graphic>
              <a:graphicData uri="http://schemas.openxmlformats.org/drawingml/2006/picture">
                <pic:pic>
                  <pic:nvPicPr>
                    <pic:cNvPr descr="fig1.png" id="43" name="Picture"/>
                    <pic:cNvPicPr>
                      <a:picLocks noChangeArrowheads="1" noChangeAspect="1"/>
                    </pic:cNvPicPr>
                  </pic:nvPicPr>
                  <pic:blipFill>
                    <a:blip r:embed="rId41"/>
                    <a:stretch>
                      <a:fillRect/>
                    </a:stretch>
                  </pic:blipFill>
                  <pic:spPr bwMode="auto">
                    <a:xfrm>
                      <a:off x="0" y="0"/>
                      <a:ext cx="5486400" cy="3873556"/>
                    </a:xfrm>
                    <a:prstGeom prst="rect">
                      <a:avLst/>
                    </a:prstGeom>
                    <a:noFill/>
                    <a:ln w="9525">
                      <a:noFill/>
                      <a:headEnd/>
                      <a:tailEnd/>
                    </a:ln>
                  </pic:spPr>
                </pic:pic>
              </a:graphicData>
            </a:graphic>
          </wp:inline>
        </w:drawing>
      </w:r>
    </w:p>
    <w:p>
      <w:pPr>
        <w:pStyle w:val="ImageCaption"/>
      </w:pPr>
      <w:r>
        <w:rPr>
          <w:lang w:val="en-US"/>
        </w:rPr>
        <w:t xml:space="preserve">Figure 1. Test V1: agreement between the census and the source-derived truth table, per assumption, for each benchmark and condition. Dashed line: 0.75, below which V1 fails. Dotted line: 0.90, which V1 needs to pass (with kappa of at least 0.70 where kappa applies). The word above each bar is the verdict printed by the frozen analysis code; a bar of agreement 0.0000 is not visible. In the figure, "camera off" is the whole-level view and "camera on" the view centered on the agent. Registered test; the values are those of Supplement, Section S.1.</w:t>
      </w:r>
    </w:p>
    <w:tbl>
      <w:tblPr>
        <w:tblStyle w:val="Table"/>
        <w:tblW w:type="pct" w:w="5000"/>
        <w:tblLayout w:type="fixed"/>
        <w:tblLook w:firstRow="1" w:lastRow="0" w:firstColumn="0" w:lastColumn="0" w:noHBand="0" w:noVBand="0" w:val="0020"/>
        <w:tblCaption w:val="Table 1. Test V1, the verdict of each line as printed by the frozen analysis code at prereg-v1.1. The agreement and kappa behind each verdict are in Supplement, Section S.1."/>
      </w:tblPr>
      <w:tblGrid>
        <w:gridCol w:w="2666"/>
        <w:gridCol w:w="548"/>
        <w:gridCol w:w="940"/>
        <w:gridCol w:w="940"/>
        <w:gridCol w:w="940"/>
        <w:gridCol w:w="940"/>
        <w:gridCol w:w="940"/>
      </w:tblGrid>
      <w:tr>
        <w:trPr>
          <w:tblHeader w:val="on"/>
        </w:trPr>
        <w:tc>
          <w:tcPr/>
          <w:p>
            <w:pPr>
              <w:pStyle w:val="Compact"/>
            </w:pPr>
            <w:r>
              <w:rPr>
                <w:lang w:val="en-US"/>
              </w:rPr>
              <w:t xml:space="preserve">benchmark and condition</w:t>
            </w:r>
          </w:p>
        </w:tc>
        <w:tc>
          <w:tcPr/>
          <w:p>
            <w:pPr>
              <w:pStyle w:val="Compact"/>
            </w:pPr>
            <w:r>
              <w:rPr>
                <w:lang w:val="en-US"/>
              </w:rPr>
              <w:t xml:space="preserve">games</w:t>
            </w:r>
          </w:p>
        </w:tc>
        <w:tc>
          <w:tcPr/>
          <w:p>
            <w:pPr>
              <w:pStyle w:val="Compact"/>
            </w:pPr>
            <w:r>
              <w:rPr>
                <w:lang w:val="en-US"/>
              </w:rPr>
              <w:t xml:space="preserve">A1</w:t>
            </w:r>
          </w:p>
        </w:tc>
        <w:tc>
          <w:tcPr/>
          <w:p>
            <w:pPr>
              <w:pStyle w:val="Compact"/>
            </w:pPr>
            <w:r>
              <w:rPr>
                <w:lang w:val="en-US"/>
              </w:rPr>
              <w:t xml:space="preserve">A2</w:t>
            </w:r>
          </w:p>
        </w:tc>
        <w:tc>
          <w:tcPr/>
          <w:p>
            <w:pPr>
              <w:pStyle w:val="Compact"/>
            </w:pPr>
            <w:r>
              <w:rPr>
                <w:lang w:val="en-US"/>
              </w:rPr>
              <w:t xml:space="preserve">A3</w:t>
            </w:r>
          </w:p>
        </w:tc>
        <w:tc>
          <w:tcPr/>
          <w:p>
            <w:pPr>
              <w:pStyle w:val="Compact"/>
            </w:pPr>
            <w:r>
              <w:rPr>
                <w:lang w:val="en-US"/>
              </w:rPr>
              <w:t xml:space="preserve">A4</w:t>
            </w:r>
          </w:p>
        </w:tc>
        <w:tc>
          <w:tcPr/>
          <w:p>
            <w:pPr>
              <w:pStyle w:val="Compact"/>
            </w:pPr>
            <w:r>
              <w:rPr>
                <w:lang w:val="en-US"/>
              </w:rPr>
              <w:t xml:space="preserve">A5</w:t>
            </w:r>
          </w:p>
        </w:tc>
      </w:tr>
      <w:tr>
        <w:tc>
          <w:tcPr/>
          <w:p>
            <w:pPr>
              <w:pStyle w:val="Compact"/>
            </w:pPr>
            <w:r>
              <w:rPr>
                <w:lang w:val="en-US"/>
              </w:rPr>
              <w:t xml:space="preserve">MiniGrid/BabyAI, absolute moves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MiniGrid/BabyAI, primitive actions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all games</w:t>
            </w:r>
          </w:p>
        </w:tc>
        <w:tc>
          <w:tcPr/>
          <w:p>
            <w:pPr>
              <w:pStyle w:val="Compact"/>
            </w:pPr>
            <w:r>
              <w:rPr>
                <w:lang w:val="en-US"/>
              </w:rPr>
              <w:t xml:space="preserve">14</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in-range games</w:t>
            </w:r>
          </w:p>
        </w:tc>
        <w:tc>
          <w:tcPr/>
          <w:p>
            <w:pPr>
              <w:pStyle w:val="Compact"/>
            </w:pPr>
            <w:r>
              <w:rPr>
                <w:lang w:val="en-US"/>
              </w:rPr>
              <w:t xml:space="preserve">9</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view centered on the agent, camera-distinct games</w:t>
            </w:r>
          </w:p>
        </w:tc>
        <w:tc>
          <w:tcPr/>
          <w:p>
            <w:pPr>
              <w:pStyle w:val="Compact"/>
            </w:pPr>
            <w:r>
              <w:rPr>
                <w:lang w:val="en-US"/>
              </w:rPr>
              <w:t xml:space="preserve">5</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r>
    </w:tbl>
    <w:p>
      <w:pPr>
        <w:pStyle w:val="TableCaption"/>
      </w:pPr>
      <w:r>
        <w:rPr>
          <w:lang w:val="en-US"/>
        </w:rPr>
        <w:t xml:space="preserve">Table 1. Test V1, the verdict of each line as printed by the frozen analysis code at prereg-v1.1. The agreement and kappa behind each verdict are in Supplement, Section S.1.</w:t>
      </w:r>
    </w:p>
    <w:p>
      <w:pPr>
        <w:pStyle w:val="FirstParagraph"/>
      </w:pPr>
      <w:r>
        <w:rPr>
          <w:lang w:val="en-US"/>
        </w:rPr>
        <w:t xml:space="preserve">Figure 2 and Table 2 give V2. No agent reached PASS on any benchmark or subset. On MiniGrid/BabyAI under absolute moves, the primary line of R is void, because R completed the first level on 101 of 112 games, a share of 0.9018, above the registered 0.90. I1 is "neither" there, with AUROC 0.7187, and so is N, the instrument check. On the primitive-action lines, which the registered text only reports, the frozen code prints FAIL for R and I1, with AUROC 0.5224 and 0.5370. On Procgen over all 14 games I1 fails, with AUROC 0.6458, and R is "neither", with 0.7222. On the nine in-range games every agent is "neither".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486400" cy="5647684"/>
            <wp:effectExtent b="0" l="0" r="0" t="0"/>
            <wp:docPr descr="Dot plot of V2 AUROC with bootstrap intervals for agents R, N and I1 on each line, with the baseline AUROC beside each. No census point reaches the pass line together with the other three conditions." title="" id="45" name="Picture"/>
            <a:graphic>
              <a:graphicData uri="http://schemas.openxmlformats.org/drawingml/2006/picture">
                <pic:pic>
                  <pic:nvPicPr>
                    <pic:cNvPr descr="fig2.png" id="46" name="Picture"/>
                    <pic:cNvPicPr>
                      <a:picLocks noChangeArrowheads="1" noChangeAspect="1"/>
                    </pic:cNvPicPr>
                  </pic:nvPicPr>
                  <pic:blipFill>
                    <a:blip r:embed="rId44"/>
                    <a:stretch>
                      <a:fillRect/>
                    </a:stretch>
                  </pic:blipFill>
                  <pic:spPr bwMode="auto">
                    <a:xfrm>
                      <a:off x="0" y="0"/>
                      <a:ext cx="5486400" cy="5647684"/>
                    </a:xfrm>
                    <a:prstGeom prst="rect">
                      <a:avLst/>
                    </a:prstGeom>
                    <a:noFill/>
                    <a:ln w="9525">
                      <a:noFill/>
                      <a:headEnd/>
                      <a:tailEnd/>
                    </a:ln>
                  </pic:spPr>
                </pic:pic>
              </a:graphicData>
            </a:graphic>
          </wp:inline>
        </w:drawing>
      </w:r>
    </w:p>
    <w:p>
      <w:pPr>
        <w:pStyle w:val="ImageCaption"/>
      </w:pPr>
      <w:r>
        <w:rPr>
          <w:lang w:val="en-US"/>
        </w:rP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(Section 3.10). The primitive-action lines are reported by the registered text, so the "FAIL" printed on their primary lines enters no outcome clause. In the figure, "camera off" is the whole-level view and "camera on" the view centered on the agent. "Level-1 completion" is first-level completion. Registered test; the values are those of Supplement, Section S.2.</w:t>
      </w:r>
    </w:p>
    <w:tbl>
      <w:tblPr>
        <w:tblStyle w:val="Table"/>
        <w:tblW w:type="pct" w:w="5000"/>
        <w:tblLayout w:type="fixed"/>
        <w:tblLook w:firstRow="1" w:lastRow="0" w:firstColumn="0" w:lastColumn="0" w:noHBand="0" w:noVBand="0" w:val="0020"/>
        <w:tblCaption w:val="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
      </w:tblPr>
      <w:tblGrid>
        <w:gridCol w:w="2725"/>
        <w:gridCol w:w="766"/>
        <w:gridCol w:w="766"/>
        <w:gridCol w:w="1107"/>
        <w:gridCol w:w="2554"/>
      </w:tblGrid>
      <w:tr>
        <w:trPr>
          <w:tblHeader w:val="on"/>
        </w:trPr>
        <w:tc>
          <w:tcPr/>
          <w:p>
            <w:pPr>
              <w:pStyle w:val="Compact"/>
            </w:pPr>
            <w:r>
              <w:rPr>
                <w:lang w:val="en-US"/>
              </w:rPr>
              <w:t xml:space="preserve">line</w:t>
            </w:r>
          </w:p>
        </w:tc>
        <w:tc>
          <w:tcPr/>
          <w:p>
            <w:pPr>
              <w:pStyle w:val="Compact"/>
            </w:pPr>
            <w:r>
              <w:rPr>
                <w:lang w:val="en-US"/>
              </w:rPr>
              <w:t xml:space="preserve">R</w:t>
            </w:r>
          </w:p>
        </w:tc>
        <w:tc>
          <w:tcPr/>
          <w:p>
            <w:pPr>
              <w:pStyle w:val="Compact"/>
            </w:pPr>
            <w:r>
              <w:rPr>
                <w:lang w:val="en-US"/>
              </w:rPr>
              <w:t xml:space="preserve">I1</w:t>
            </w:r>
          </w:p>
        </w:tc>
        <w:tc>
          <w:tcPr/>
          <w:p>
            <w:pPr>
              <w:pStyle w:val="Compact"/>
            </w:pPr>
            <w:r>
              <w:rPr>
                <w:lang w:val="en-US"/>
              </w:rPr>
              <w:t xml:space="preserve">N (instrument check)</w:t>
            </w:r>
          </w:p>
        </w:tc>
        <w:tc>
          <w:tcPr/>
          <w:p>
            <w:pPr>
              <w:pStyle w:val="Compact"/>
            </w:pPr>
            <w:r>
              <w:rPr>
                <w:lang w:val="en-US"/>
              </w:rPr>
              <w:t xml:space="preserve">benchmark line</w:t>
            </w:r>
          </w:p>
        </w:tc>
      </w:tr>
      <w:tr>
        <w:tc>
          <w:tcPr/>
          <w:p>
            <w:pPr>
              <w:pStyle w:val="Compact"/>
            </w:pPr>
            <w:r>
              <w:rPr>
                <w:lang w:val="en-US"/>
              </w:rPr>
              <w:t xml:space="preserve">MiniGrid/BabyAI, absolute moves, primary</w:t>
            </w:r>
          </w:p>
        </w:tc>
        <w:tc>
          <w:tcPr/>
          <w:p>
            <w:pPr>
              <w:pStyle w:val="Compact"/>
            </w:pPr>
            <w:r>
              <w:rPr>
                <w:lang w:val="en-US"/>
              </w:rPr>
              <w:t xml:space="preserve">VOID</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I1 alone)</w:t>
            </w:r>
          </w:p>
        </w:tc>
      </w:tr>
      <w:tr>
        <w:tc>
          <w:tcPr/>
          <w:p>
            <w:pPr>
              <w:pStyle w:val="Compact"/>
            </w:pPr>
            <w:r>
              <w:rPr>
                <w:lang w:val="en-US"/>
              </w:rPr>
              <w:t xml:space="preserve">MiniGrid/BabyAI, primitive actions, primary (reported)</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suite FAIL (decided by R and I1)</w:t>
            </w:r>
          </w:p>
        </w:tc>
      </w:tr>
      <w:tr>
        <w:tc>
          <w:tcPr/>
          <w:p>
            <w:pPr>
              <w:pStyle w:val="Compact"/>
            </w:pPr>
            <w:r>
              <w:rPr>
                <w:lang w:val="en-US"/>
              </w:rPr>
              <w:t xml:space="preserve">Procgen, whole-level view, all games</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Procgen, whole-level view, in-range games</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ARC-AGI-3, 25 public games (reported)</w:t>
            </w:r>
          </w:p>
        </w:tc>
        <w:tc>
          <w:tcPr/>
          <w:p>
            <w:pPr>
              <w:pStyle w:val="Compact"/>
            </w:pPr>
            <w:r>
              <w:rPr>
                <w:lang w:val="en-US"/>
              </w:rPr>
              <w:t xml:space="preserve">FAIL</w:t>
            </w:r>
          </w:p>
        </w:tc>
        <w:tc>
          <w:tcPr/>
          <w:p>
            <w:pPr>
              <w:pStyle w:val="Compact"/>
            </w:pPr>
            <w:r>
              <w:rPr>
                <w:lang w:val="en-US"/>
              </w:rPr>
              <w:t xml:space="preserve">not run</w:t>
            </w:r>
          </w:p>
        </w:tc>
        <w:tc>
          <w:tcPr/>
          <w:p>
            <w:pPr>
              <w:pStyle w:val="Compact"/>
            </w:pPr>
            <w:r>
              <w:rPr>
                <w:lang w:val="en-US"/>
              </w:rPr>
              <w:t xml:space="preserve">FAIL</w:t>
            </w:r>
          </w:p>
        </w:tc>
        <w:tc>
          <w:tcPr/>
          <w:p>
            <w:pPr>
              <w:pStyle w:val="Compact"/>
            </w:pPr>
            <w:r>
              <w:rPr>
                <w:lang w:val="en-US"/>
              </w:rPr>
              <w:t xml:space="preserve">reported, not tested</w:t>
            </w:r>
          </w:p>
        </w:tc>
      </w:tr>
    </w:tbl>
    <w:p>
      <w:pPr>
        <w:pStyle w:val="TableCaption"/>
      </w:pPr>
      <w:r>
        <w:rPr>
          <w:lang w:val="en-US"/>
        </w:rPr>
        <w:t xml:space="preserve">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w:t>
      </w:r>
    </w:p>
    <w:p>
      <w:pPr>
        <w:pStyle w:val="FirstParagraph"/>
      </w:pPr>
      <w:r>
        <w:rPr>
          <w:lang w:val="en-US"/>
        </w:rPr>
        <w:t xml:space="preserve">Under absolute moves the MiniGrid/BabyAI benchmark line is "not failed", a verdict decided by I1 alone because R is void. Procgen with the whole-level view is "not failed" over all games and over the in-range games. The primitive-action line reads "suite FAIL", but the registered text only reports that condition, so this line enters no outcome clause (Section 3.10).</w:t>
      </w:r>
    </w:p>
    <w:p>
      <w:pPr>
        <w:pStyle w:val="BodyText"/>
      </w:pPr>
      <w:r>
        <w:rPr>
          <w:lang w:val="en-US"/>
        </w:rP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rPr>
          <w:lang w:val="en-US"/>
        </w:rPr>
        <w:t xml:space="preserve">The two ARC-AGI-3 lines are reported and not tested, as registered. Because of the defect recorded among the deviations, they are computed over all 25 public games rather than the 17 held-out games. The "FAIL" printed on them has no registered meaning and enters no gate. The line over the 17 held-out games is given, as exploratory, in Section 5.</w:t>
      </w:r>
    </w:p>
    <w:p>
      <w:pPr>
        <w:pStyle w:val="BodyText"/>
      </w:pPr>
      <w:r>
        <w:rPr>
          <w:lang w:val="en-US"/>
        </w:rPr>
        <w:t xml:space="preserve">Gate G3 applies the registered outcome table (Table 3). The outcome is a refutation, by the clause "V1 fails on any suite": V1 fails on MiniGrid/BabyAI in both conditions and on Procgen. The other two clauses of the refutation do not apply, since the V2 benchmark line under absolute moves is "not failed" and V2 is not void on every benchmark. One clause is enough. This classification was recorded on 13 October 2026, before any text about the results was written.</w:t>
      </w:r>
    </w:p>
    <w:tbl>
      <w:tblPr>
        <w:tblStyle w:val="Table"/>
        <w:tblW w:type="pct" w:w="5000"/>
        <w:tblLayout w:type="fixed"/>
        <w:tblLook w:firstRow="1" w:lastRow="0" w:firstColumn="0" w:lastColumn="0" w:noHBand="0" w:noVBand="0" w:val="0020"/>
        <w:tblCaption w:val="Table 3. The registered outcome table, as fixed in the protocol before any confirmatory run (B: MiniGrid/BabyAI; C: Procgen; B-macro: MiniGrid/BabyAI under absolute moves)."/>
      </w:tblPr>
      <w:tblGrid>
        <w:gridCol w:w="808"/>
        <w:gridCol w:w="4687"/>
        <w:gridCol w:w="2424"/>
      </w:tblGrid>
      <w:tr>
        <w:trPr>
          <w:tblHeader w:val="on"/>
        </w:trPr>
        <w:tc>
          <w:tcPr/>
          <w:p>
            <w:pPr>
              <w:pStyle w:val="Compact"/>
            </w:pPr>
            <w:r>
              <w:rPr>
                <w:lang w:val="en-US"/>
              </w:rPr>
              <w:t xml:space="preserve">outcome</w:t>
            </w:r>
          </w:p>
        </w:tc>
        <w:tc>
          <w:tcPr/>
          <w:p>
            <w:pPr>
              <w:pStyle w:val="Compact"/>
            </w:pPr>
            <w:r>
              <w:rPr>
                <w:lang w:val="en-US"/>
              </w:rPr>
              <w:t xml:space="preserve">definition (registered)</w:t>
            </w:r>
          </w:p>
        </w:tc>
        <w:tc>
          <w:tcPr/>
          <w:p>
            <w:pPr>
              <w:pStyle w:val="Compact"/>
            </w:pPr>
            <w:r>
              <w:rPr>
                <w:lang w:val="en-US"/>
              </w:rPr>
              <w:t xml:space="preserve">venue (registered)</w:t>
            </w:r>
          </w:p>
        </w:tc>
      </w:tr>
      <w:tr>
        <w:tc>
          <w:tcPr/>
          <w:p>
            <w:pPr>
              <w:pStyle w:val="Compact"/>
            </w:pPr>
            <w:r>
              <w:rPr>
                <w:lang w:val="en-US"/>
              </w:rPr>
              <w:t xml:space="preserve">Support</w:t>
            </w:r>
          </w:p>
        </w:tc>
        <w:tc>
          <w:tcPr/>
          <w:p>
            <w:pPr>
              <w:pStyle w:val="Compact"/>
            </w:pPr>
            <w:r>
              <w:rPr>
                <w:lang w:val="en-US"/>
              </w:rPr>
              <w:t xml:space="preserve">V1 passes on B (both conditions) and C, V2 passes for R and I1 on B-macro and C (not void), and V3 holds</w:t>
            </w:r>
          </w:p>
        </w:tc>
        <w:tc>
          <w:tcPr/>
          <w:p>
            <w:pPr>
              <w:pStyle w:val="Compact"/>
            </w:pPr>
            <w:r>
              <w:rPr>
                <w:lang w:val="en-US"/>
              </w:rPr>
              <w:t xml:space="preserve">JAIR full article</w:t>
            </w:r>
          </w:p>
        </w:tc>
      </w:tr>
      <w:tr>
        <w:tc>
          <w:tcPr/>
          <w:p>
            <w:pPr>
              <w:pStyle w:val="Compact"/>
            </w:pPr>
            <w:r>
              <w:rPr>
                <w:lang w:val="en-US"/>
              </w:rPr>
              <w:t xml:space="preserve">Partial</w:t>
            </w:r>
          </w:p>
        </w:tc>
        <w:tc>
          <w:tcPr/>
          <w:p>
            <w:pPr>
              <w:pStyle w:val="Compact"/>
            </w:pPr>
            <w:r>
              <w:rPr>
                <w:lang w:val="en-US"/>
              </w:rPr>
              <w:t xml:space="preserve">V1 passes everywhere, but V2 passes on B-macro only or is void on C, or passes on C for R only</w:t>
            </w:r>
          </w:p>
        </w:tc>
        <w:tc>
          <w:tcPr/>
          <w:p>
            <w:pPr>
              <w:pStyle w:val="Compact"/>
            </w:pPr>
            <w:r>
              <w:rPr>
                <w:lang w:val="en-US"/>
              </w:rPr>
              <w:t xml:space="preserve">IEEE Transactions on Games full paper</w:t>
            </w:r>
          </w:p>
        </w:tc>
      </w:tr>
      <w:tr>
        <w:tc>
          <w:tcPr/>
          <w:p>
            <w:pPr>
              <w:pStyle w:val="Compact"/>
            </w:pPr>
            <w:r>
              <w:rPr>
                <w:lang w:val="en-US"/>
              </w:rPr>
              <w:t xml:space="preserve">Refute</w:t>
            </w:r>
          </w:p>
        </w:tc>
        <w:tc>
          <w:tcPr/>
          <w:p>
            <w:pPr>
              <w:pStyle w:val="Compact"/>
            </w:pPr>
            <w:r>
              <w:rPr>
                <w:lang w:val="en-US"/>
              </w:rPr>
              <w:t xml:space="preserve">V1 fails on any suite, or V2 fails on B-macro, or V2 is void on every suite</w:t>
            </w:r>
          </w:p>
        </w:tc>
        <w:tc>
          <w:tcPr/>
          <w:p>
            <w:pPr>
              <w:pStyle w:val="Compact"/>
            </w:pPr>
            <w:r>
              <w:rPr>
                <w:lang w:val="en-US"/>
              </w:rPr>
              <w:t xml:space="preserve">repository record only, at most an arXiv note</w:t>
            </w:r>
          </w:p>
        </w:tc>
      </w:tr>
    </w:tbl>
    <w:p>
      <w:pPr>
        <w:pStyle w:val="TableCaption"/>
      </w:pPr>
      <w:r>
        <w:rPr>
          <w:lang w:val="en-US"/>
        </w:rPr>
        <w:t xml:space="preserve">Table 3. The registered outcome table, as fixed in the protocol before any confirmatory run (B: MiniGrid/BabyAI; C: Procgen; B-macro: MiniGrid/BabyAI under absolute moves).</w:t>
      </w:r>
    </w:p>
    <w:p>
      <w:pPr>
        <w:pStyle w:val="Heading1"/>
      </w:pPr>
      <w:bookmarkStart w:id="47" w:name="_bcd9674c562ddc33abcb42b5a39789d18fe4f67"/>
      <w:r>
        <w:rPr>
          <w:lang w:val="en-US"/>
        </w:rPr>
        <w:t xml:space="preserve">5 Exploratory Diagnosis</w:t>
      </w:r>
      <w:bookmarkEnd w:id="47"/>
    </w:p>
    <w:p>
      <w:pPr>
        <w:pStyle w:val="FirstParagraph"/>
      </w:pPr>
      <w:r>
        <w:rPr>
          <w:lang w:val="en-US"/>
        </w:rPr>
        <w:t xml:space="preserve">This section is exploratory. It asks why an instrument whose parameters were held fixed across benchmarks did not keep its meaning across them. It was written after the outcome was known, it tests nothing, and it changes nothing in the registered results above. Its numbers come from an exploratory script that calls the frozen analysis functions unchanged (Supplement, Section S.5). Two consistency checks come first, and both are exploratory. The census verdict stored in each of the 3,500 planner rows equals the verdict recomputed from that row's report, with 0 mismatches. The 25-game ARC-AGI-3 lines recomputed by the same functions equal those of the registered table to four decimals.</w:t>
      </w:r>
    </w:p>
    <w:p>
      <w:pPr>
        <w:pStyle w:val="BodyText"/>
      </w:pPr>
      <w:r>
        <w:rPr>
          <w:lang w:val="en-US"/>
        </w:rPr>
        <w:t xml:space="preserve">Figure 3 shows, for every V1 line, how the games split between truth and census, and Figure 4 shows how often single seeds disagree with their game's majority. Both are exploratory.</w:t>
      </w:r>
    </w:p>
    <w:p>
      <w:pPr>
        <w:pStyle w:val="CaptionedFigure"/>
      </w:pPr>
      <w:r>
        <w:drawing>
          <wp:inline>
            <wp:extent cx="5486400" cy="4034841"/>
            <wp:effectExtent b="0" l="0" r="0" t="0"/>
            <wp:docPr descr="Stacked bars per assumption and condition showing, for games where the truth holds and where it fails, how many the census called holds, fails or undetermined." title="" id="49" name="Picture"/>
            <a:graphic>
              <a:graphicData uri="http://schemas.openxmlformats.org/drawingml/2006/picture">
                <pic:pic>
                  <pic:nvPicPr>
                    <pic:cNvPr descr="fig3.png" id="50" name="Picture"/>
                    <pic:cNvPicPr>
                      <a:picLocks noChangeArrowheads="1" noChangeAspect="1"/>
                    </pic:cNvPicPr>
                  </pic:nvPicPr>
                  <pic:blipFill>
                    <a:blip r:embed="rId48"/>
                    <a:stretch>
                      <a:fillRect/>
                    </a:stretch>
                  </pic:blipFill>
                  <pic:spPr bwMode="auto">
                    <a:xfrm>
                      <a:off x="0" y="0"/>
                      <a:ext cx="5486400" cy="4034841"/>
                    </a:xfrm>
                    <a:prstGeom prst="rect">
                      <a:avLst/>
                    </a:prstGeom>
                    <a:noFill/>
                    <a:ln w="9525">
                      <a:noFill/>
                      <a:headEnd/>
                      <a:tailEnd/>
                    </a:ln>
                  </pic:spPr>
                </pic:pic>
              </a:graphicData>
            </a:graphic>
          </wp:inline>
        </w:drawing>
      </w:r>
    </w:p>
    <w:p>
      <w:pPr>
        <w:pStyle w:val="ImageCaption"/>
      </w:pPr>
      <w:r>
        <w:rPr>
          <w:lang w:val="en-US"/>
        </w:rPr>
        <w:t xml:space="preserve">Figure 3. An exploratory view of V1: for each benchmark and condition and each assumption, the games where the truth table says the assumption holds (bar h) or fails (bar f), split by the census verdict (holds, fails, undetermined). A missing bar is a truth class with zero games. In the figure, "camera off" is the whole-level view and "camera on" the view centered on the agent. Exploratory, read after the outcome was known; source in Supplement, Section S.5.</w:t>
      </w:r>
    </w:p>
    <w:p>
      <w:pPr>
        <w:pStyle w:val="FirstParagraph"/>
      </w:pPr>
      <w:r>
        <w:rPr>
          <w:lang w:val="en-US"/>
        </w:rP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rPr>
          <w:lang w:val="en-US"/>
        </w:rP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6 Procgen games the truth fails A2, because other entities also respond to the action, and the census says it holds. The census rule has no clause for that, and on these games it found one controlled object on at least 9 of 10 seeds.</w:t>
      </w:r>
    </w:p>
    <w:p>
      <w:pPr>
        <w:pStyle w:val="BodyText"/>
      </w:pPr>
      <w:r>
        <w:rPr>
          <w:lang w:val="en-US"/>
        </w:rPr>
        <w:t xml:space="preserve">The exploratory counts for A3 under absolute moves are these: 92 games have the truth holding and the census failing. Four step vectors were accepted on 850 of their 920 seeds, so the learned motion was mostly right. Of the 775 seeds whose verdict is "fails", 755 carry the planner's first-level outcome "mispredicted" and the other 20 never located the agent. The census's A3 failure therefore comes from the planner's prediction during play, not from the learned step vectors. Under primitive actions the truth fails everywhere, because forward depends on facing, and the census says "holds" on 73 games. One step vector per key, learned from the starting facing, cannot reveal a dependence on facing while the turns record no shift.</w:t>
      </w:r>
    </w:p>
    <w:p>
      <w:pPr>
        <w:pStyle w:val="BodyText"/>
      </w:pPr>
      <w:r>
        <w:rPr>
          <w:lang w:val="en-US"/>
        </w:rPr>
        <w:t xml:space="preserve">For A4 the exploratory reading is short. The census rule for A4 is conditional on A3, so most A4 failures on MiniGrid/BabyAI follow from those of A3. On Procgen the counter of walked-through "walls" is above zero on some seeds of all 13 games where the truth holds A4, and on all 10 seeds of 5 of them. That counter rises when the planner walks through a color it had classified as a wall. The counters do not say whether that came from the game's obstacles, from momentum or from the planner's classification.</w:t>
      </w:r>
    </w:p>
    <w:p>
      <w:pPr>
        <w:pStyle w:val="BodyText"/>
      </w:pPr>
      <w:r>
        <w:rPr>
          <w:lang w:val="en-US"/>
        </w:rP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 "holds" 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 In the same exploratory counts, the negative kappa values for A5 come mostly from "undetermined", which the registered kappa maps to the value opposite the truth. The cell "truth fails, census holds" used by kappa therefore contains 23 census "holds" and 61 undetermined games under absolute moves (84 in all), 15 and 105 under primitive actions (120 in all), and 0 and 8 on Procgen (8 in all).</w:t>
      </w:r>
    </w:p>
    <w:p>
      <w:pPr>
        <w:pStyle w:val="CaptionedFigure"/>
      </w:pPr>
      <w:r>
        <w:drawing>
          <wp:inline>
            <wp:extent cx="5486400" cy="3550988"/>
            <wp:effectExtent b="0" l="0" r="0" t="0"/>
            <wp:docPr descr="Stacked bars per assumption and condition showing how many games have zero, one, two or more seeds that disagree with the game's majority census verdict." title="" id="52" name="Picture"/>
            <a:graphic>
              <a:graphicData uri="http://schemas.openxmlformats.org/drawingml/2006/picture">
                <pic:pic>
                  <pic:nvPicPr>
                    <pic:cNvPr descr="fig4.png" id="53" name="Picture"/>
                    <pic:cNvPicPr>
                      <a:picLocks noChangeArrowheads="1" noChangeAspect="1"/>
                    </pic:cNvPicPr>
                  </pic:nvPicPr>
                  <pic:blipFill>
                    <a:blip r:embed="rId51"/>
                    <a:stretch>
                      <a:fillRect/>
                    </a:stretch>
                  </pic:blipFill>
                  <pic:spPr bwMode="auto">
                    <a:xfrm>
                      <a:off x="0" y="0"/>
                      <a:ext cx="5486400" cy="3550988"/>
                    </a:xfrm>
                    <a:prstGeom prst="rect">
                      <a:avLst/>
                    </a:prstGeom>
                    <a:noFill/>
                    <a:ln w="9525">
                      <a:noFill/>
                      <a:headEnd/>
                      <a:tailEnd/>
                    </a:ln>
                  </pic:spPr>
                </pic:pic>
              </a:graphicData>
            </a:graphic>
          </wp:inline>
        </w:drawing>
      </w:r>
    </w:p>
    <w:p>
      <w:pPr>
        <w:pStyle w:val="ImageCaption"/>
      </w:pPr>
      <w:r>
        <w:rPr>
          <w:lang w:val="en-US"/>
        </w:rPr>
        <w:t xml:space="preserve">Figure 4. An exploratory view of seed dissent: for each benchmark and condition and each assumption, the games split by how many of their 10 seeds give a census verdict different from the game's majority verdict. In the figure, "camera off" is the whole-level view and "camera on" the view centered on the agent. Exploratory, read after the outcome was known; source in Supplement, Section S.5.</w:t>
      </w:r>
    </w:p>
    <w:p>
      <w:pPr>
        <w:pStyle w:val="FirstParagraph"/>
      </w:pPr>
      <w:r>
        <w:rPr>
          <w:lang w:val="en-US"/>
        </w:rP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rPr>
          <w:lang w:val="en-US"/>
        </w:rP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 "wall" 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rPr>
          <w:lang w:val="en-US"/>
        </w:rPr>
        <w:t xml:space="preserve">On the 17 held-out ARC-AGI-3 games, the exploratory V2 line computed by the same frozen functions gives AUROC 0.3542 for N and 0.3403 for R, with the full line in Supplement, Section S.7. It is reported and never tested. None of this exploratory material supports a causal claim. These are counts of counters, read after the outcome was known.</w:t>
      </w:r>
    </w:p>
    <w:p>
      <w:pPr>
        <w:pStyle w:val="Heading1"/>
      </w:pPr>
      <w:bookmarkStart w:id="54" w:name="_discussion"/>
      <w:r>
        <w:rPr>
          <w:lang w:val="en-US"/>
        </w:rPr>
        <w:t xml:space="preserve">6 Discussion</w:t>
      </w:r>
      <w:bookmarkEnd w:id="54"/>
    </w:p>
    <w:p>
      <w:pPr>
        <w:pStyle w:val="FirstParagraph"/>
      </w:pPr>
      <w:r>
        <w:rPr>
          <w:lang w:val="en-US"/>
        </w:rPr>
        <w:t xml:space="preserve">The registered answer is no on both counts: the census failed the registered validity test on games from the two other benchmarks, and its score passed the registered prediction test for no agent there. This section says what that implies for claims of generality, why the failure was invisible where the instrument was built, what could have caught it earlier, and what the study does not show.</w:t>
      </w:r>
    </w:p>
    <w:p>
      <w:pPr>
        <w:pStyle w:val="Heading2"/>
      </w:pPr>
      <w:bookmarkStart w:id="55" w:name="_99576bff4ca96cf57abb447d99cab2882bff7dd"/>
      <w:r>
        <w:rPr>
          <w:lang w:val="en-US"/>
        </w:rPr>
        <w:t xml:space="preserve">6.1 What the Failure Means for Generality Claims</w:t>
      </w:r>
      <w:bookmarkEnd w:id="55"/>
    </w:p>
    <w:p>
      <w:pPr>
        <w:pStyle w:val="FirstParagraph"/>
      </w:pPr>
      <w:r>
        <w:rPr>
          <w:lang w:val="en-US"/>
        </w:rP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benchmark. By the registered outcome table, a V1 failure on any benchmark decides the outcome by itself, whatever V2 shows, and a prediction built on a score that does not measure what it names would be hard to interpret even if it had passed.</w:t>
      </w:r>
    </w:p>
    <w:p>
      <w:pPr>
        <w:pStyle w:val="BodyText"/>
      </w:pPr>
      <w:r>
        <w:rPr>
          <w:lang w:val="en-US"/>
        </w:rPr>
        <w:t xml:space="preserve">For generality the finding has a specific shape. The census kept every parameter fixed across benchmarks, which was the registered meaning of transfer, and it still failed. Holding an instrument's parameters fixed is a statement about the procedure. It says nothing about whether the procedure measures the same property on new games. Legg and Hutter (2007) define intelligence over a range of environments, so a claim that an instrument describes environments in general is a claim about a range too, and it has to be tested on each part of the range it names. Chollet (2019) asks that a benchmark of general intelligence control for priors and experience; an instrument that characterizes games carries priors of its own, here the planner whose by-products the census read. In the exploratory reading of Section 5, the one assumption with no failing V1 line, A1, is the one whose probe and truth predicate say nearly the same thing, and the census verdicts for the other four were by-products of one planner's run on each game rather than readings of the game's rules.</w:t>
      </w:r>
    </w:p>
    <w:p>
      <w:pPr>
        <w:pStyle w:val="BodyText"/>
      </w:pPr>
      <w:r>
        <w:rPr>
          <w:lang w:val="en-US"/>
        </w:rPr>
        <w:t xml:space="preserve">For registered claims in this area the registered decision rule worked as designed, and the eight deviations recorded in Section 3.10 change no test and no outcome. The claim was stated before the data, the answer key was committed before the data, and the outcome followed from a clause written in advance. No reading of the results after the fact could turn the refutation into support, and none is offered here.</w:t>
      </w:r>
    </w:p>
    <w:p>
      <w:pPr>
        <w:pStyle w:val="Heading2"/>
      </w:pPr>
      <w:bookmarkStart w:id="56" w:name="_32db40137d678335caac6789176e140d5e1dc37"/>
      <w:r>
        <w:rPr>
          <w:lang w:val="en-US"/>
        </w:rPr>
        <w:t xml:space="preserve">6.2 Why the Failure Could Not Show on the Development Benchmark</w:t>
      </w:r>
      <w:bookmarkEnd w:id="56"/>
    </w:p>
    <w:p>
      <w:pPr>
        <w:pStyle w:val="FirstParagraph"/>
      </w:pPr>
      <w:r>
        <w:rPr>
          <w:lang w:val="en-US"/>
        </w:rPr>
        <w:t xml:space="preserve">A failure to generalize can stay hidden on the benchmark where an instrument is built if nothing there scores it against truth. 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 The registered phrase that ARC-AGI-3 "does not count toward generality" kept the development games out of the evidence for the claim, not out of that check: the protocol provided for the check, and it was simply not done.</w:t>
      </w:r>
    </w:p>
    <w:p>
      <w:pPr>
        <w:pStyle w:val="Heading2"/>
      </w:pPr>
      <w:bookmarkStart w:id="57" w:name="_4252f8ad13597f4d1726aa6c50092531b1b8e8c"/>
      <w:r>
        <w:rPr>
          <w:lang w:val="en-US"/>
        </w:rPr>
        <w:t xml:space="preserve">6.3 The Pilot Check That Was Not Done</w:t>
      </w:r>
      <w:bookmarkEnd w:id="57"/>
    </w:p>
    <w:p>
      <w:pPr>
        <w:pStyle w:val="FirstParagraph"/>
      </w:pPr>
      <w:r>
        <w:rPr>
          <w:lang w:val="en-US"/>
        </w:rPr>
        <w:t xml:space="preserve">The same failure could have been seen on the first games of the new benchmarks, before the full runs. The pilot runs contained census verdicts for eight games, six MiniGrid/BabyAI environments and two Procgen games, all of which have truth-table entries. Comparing those verdicts with the truth before the v1.1 tag could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58" w:name="_d669e95fd87e269eab3571ac5d4ddb40788494e"/>
      <w:r>
        <w:rPr>
          <w:lang w:val="en-US"/>
        </w:rPr>
        <w:t xml:space="preserve">6.4 The Nuisance Baseline</w:t>
      </w:r>
      <w:bookmarkEnd w:id="58"/>
    </w:p>
    <w:p>
      <w:pPr>
        <w:pStyle w:val="FirstParagraph"/>
      </w:pPr>
      <w:r>
        <w:rPr>
          <w:lang w:val="en-US"/>
        </w:rPr>
        <w:t xml:space="preserve">On games from another benchmark, plain size and variety told more about first-level success than the census did. On all six primary MiniGrid/BabyAI lines, a logistic regression on grid area, action count and color count, fitted in-sample as registered, ranked the games by first-level completion better than the census score did. The census score is not fitted to the outcome at all, so the comparison favors the baseline; it is the comparison the protocol registered.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 of the whole-level view.</w:t>
      </w:r>
    </w:p>
    <w:p>
      <w:pPr>
        <w:pStyle w:val="Heading2"/>
      </w:pPr>
      <w:bookmarkStart w:id="59" w:name="_a1a8b1f82b3c48dbc70844059863ee065c9f4aa"/>
      <w:r>
        <w:rPr>
          <w:lang w:val="en-US"/>
        </w:rPr>
        <w:t xml:space="preserve">6.5 The Methodological Mistake</w:t>
      </w:r>
      <w:bookmarkEnd w:id="59"/>
    </w:p>
    <w:p>
      <w:pPr>
        <w:pStyle w:val="FirstParagraph"/>
      </w:pPr>
      <w:r>
        <w:rPr>
          <w:lang w:val="en-US"/>
        </w:rPr>
        <w:t xml:space="preserve">The reason the census did not carry over from one benchmark to the others is a mistake of method, read from the exploratory diagnosis: the probes and the truth predicates were not the same constructs, and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60" w:name="_e20c9f9f348210e4c890b4b5397a46ecc156b35"/>
      <w:r>
        <w:rPr>
          <w:lang w:val="en-US"/>
        </w:rPr>
        <w:t xml:space="preserve">6.6 What a Second Registered Study Would Have to Change</w:t>
      </w:r>
      <w:bookmarkEnd w:id="60"/>
    </w:p>
    <w:p>
      <w:pPr>
        <w:pStyle w:val="FirstParagraph"/>
      </w:pPr>
      <w:r>
        <w:rPr>
          <w:lang w:val="en-US"/>
        </w:rPr>
        <w:t xml:space="preserve">A study that means to show that an instrument carries across benchmarks would have to meet requirements this one did not. What follows are those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of every benchmark, with a stop rule, before any confirmatory run. It would have to register how "undetermined" enters each test, rather than mapping it to the opposite of the truth for kappa, so that a silent instrument and a wrong one are told apart. And it would have to name, before registration, a nuisance baseline that the census must beat on the development instance.</w:t>
      </w:r>
    </w:p>
    <w:p>
      <w:pPr>
        <w:pStyle w:val="Heading2"/>
      </w:pPr>
      <w:bookmarkStart w:id="61" w:name="_e82ddd5af3ed5597ebb7ce6961df088c51408fb"/>
      <w:r>
        <w:rPr>
          <w:lang w:val="en-US"/>
        </w:rPr>
        <w:t xml:space="preserve">6.7 What This Study Does Not Show</w:t>
      </w:r>
      <w:bookmarkEnd w:id="61"/>
    </w:p>
    <w:p>
      <w:pPr>
        <w:pStyle w:val="FirstParagraph"/>
      </w:pPr>
      <w:r>
        <w:rPr>
          <w:lang w:val="en-US"/>
        </w:rP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 and it does not show that instruments built on one benchmark cannot transfer to others. It shows that this instrument, registered with these thresholds, did not.</w:t>
      </w:r>
    </w:p>
    <w:p>
      <w:pPr>
        <w:pStyle w:val="Heading1"/>
      </w:pPr>
      <w:bookmarkStart w:id="62" w:name="_conclusion"/>
      <w:r>
        <w:rPr>
          <w:lang w:val="en-US"/>
        </w:rPr>
        <w:t xml:space="preserve">7 Conclusion</w:t>
      </w:r>
      <w:bookmarkEnd w:id="62"/>
    </w:p>
    <w:p>
      <w:pPr>
        <w:pStyle w:val="FirstParagraph"/>
      </w:pPr>
      <w:r>
        <w:rPr>
          <w:lang w:val="en-US"/>
        </w:rPr>
        <w:t xml:space="preserve">The answer to the generality question is no: a frame-only census of game mechanics built and frozen on ARC-AGI-3 failed the registered validity test on games from MiniGrid/BabyAI and Procgen, and its score passed the registered prediction test for no agent there. The registered objective was a frame-only census, fitted on ARC-AGI-3, that would report the mechanics of games from other benchmarks at a registered accuracy and predict where assumption-driven agents complete the first level. It failed in each registered respect. The instrument failed V1 on both confirmatory benchmarks, for three or four of the five assumptions depending on the benchmark and condition. The prediction test V2 passed for no agent on any benchmark, and on MiniGrid/BabyAI a baseline built from the size and variety of the environments ranked them better than the census did. The registered consequence followed: a refutation. For anyone who builds an instrument on one benchmark and means to use it on others, the record here is that freezing the parameters secured nothing about validity, and that the check that could have shown the failure, a comparison with known truth on the development games and on the pilot games, was never run.</w:t>
      </w:r>
    </w:p>
    <w:p>
      <w:pPr>
        <w:pStyle w:val="Heading1"/>
      </w:pPr>
      <w:bookmarkStart w:id="63" w:name="_333578fc3e8634b78411490a6e2088ad81144c1"/>
      <w:r>
        <w:rPr>
          <w:lang w:val="en-US"/>
        </w:rPr>
        <w:t xml:space="preserve">Data and Code Availability</w:t>
      </w:r>
      <w:bookmarkEnd w:id="63"/>
    </w:p>
    <w:p>
      <w:pPr>
        <w:pStyle w:val="FirstParagraph"/>
      </w:pPr>
      <w:r>
        <w:rPr>
          <w:lang w:val="en-US"/>
        </w:rPr>
        <w:t xml:space="preserve">All data and code are public in the repository https://github.com/rahul-k-mishra/arc3-frame-only-study under the MIT license. The data are the 10,500 confirmatory rows, 9,660 for MiniGrid/BabyAI and 840 for Procgen, one JSON file per benchmark,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the exploratory diagnosis and the scripts that build and check this article's numbers and figures. The agent I1 is kept in its own directory with the upstream MIT notice of its authors.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public, and their registered texts are also in the repository. An earlier version of this article is on Zenodo under CC-BY 4.0 at https://doi.org/10.5281/zenodo.23375065. The supplement, with the full tables, the amendment trail, the exclusion lists, the provenance of every number and the hashes of the frozen files, is at SUPPLEMENT_DOI.</w:t>
      </w:r>
    </w:p>
    <w:p>
      <w:pPr>
        <w:pStyle w:val="Heading1"/>
      </w:pPr>
      <w:bookmarkStart w:id="64" w:name="_funding"/>
      <w:r>
        <w:rPr>
          <w:lang w:val="en-US"/>
        </w:rPr>
        <w:t xml:space="preserve">Funding</w:t>
      </w:r>
      <w:bookmarkEnd w:id="64"/>
    </w:p>
    <w:p>
      <w:pPr>
        <w:pStyle w:val="FirstParagraph"/>
      </w:pPr>
      <w:r>
        <w:rPr>
          <w:lang w:val="en-US"/>
        </w:rPr>
        <w:t xml:space="preserve">This research received no funding.</w:t>
      </w:r>
    </w:p>
    <w:p>
      <w:pPr>
        <w:pStyle w:val="Heading1"/>
      </w:pPr>
      <w:bookmarkStart w:id="65" w:name="_ce73433e89afc27902f14cba7583f04156a1bb2"/>
      <w:r>
        <w:rPr>
          <w:lang w:val="en-US"/>
        </w:rPr>
        <w:t xml:space="preserve">Conflicts of Interest</w:t>
      </w:r>
      <w:bookmarkEnd w:id="65"/>
    </w:p>
    <w:p>
      <w:pPr>
        <w:pStyle w:val="FirstParagraph"/>
      </w:pPr>
      <w:r>
        <w:rPr>
          <w:lang w:val="en-US"/>
        </w:rPr>
        <w:t xml:space="preserve">The author declares no conflicts of interest.</w:t>
      </w:r>
    </w:p>
    <w:p>
      <w:pPr>
        <w:pStyle w:val="Heading1"/>
      </w:pPr>
      <w:bookmarkStart w:id="66" w:name="_references"/>
      <w:r>
        <w:rPr>
          <w:lang w:val="en-US"/>
        </w:rPr>
        <w:t xml:space="preserve">References</w:t>
      </w:r>
      <w:bookmarkEnd w:id="66"/>
    </w:p>
    <w:p>
      <w:pPr>
        <w:pStyle w:val="References"/>
      </w:pPr>
      <w:r>
        <w:rPr>
          <w:lang w:val="en-US"/>
        </w:rPr>
        <w:t xml:space="preserve">ARC Prize Foundation. 2026. ARC-AGI-3: A New Challenge for Frontier Agentic Intelligence. Technical report, 22 April 2026. https://arcprize.org/media/ARC_AGI_3_Technical_Report.pdf (fetched 24 October 2026).</w:t>
      </w:r>
    </w:p>
    <w:p>
      <w:pPr>
        <w:pStyle w:val="References"/>
      </w:pPr>
      <w:r>
        <w:rPr>
          <w:lang w:val="en-US"/>
        </w:rPr>
        <w:t xml:space="preserve">Bellemare, M. G.; Veness, J.; and Bowling, M. 2012. Investigating Contingency Awareness Using Atari 2600 Games.</w:t>
      </w:r>
      <w:r>
        <w:rPr>
          <w:lang w:val="en-US"/>
        </w:rPr>
        <w:t xml:space="preserve"> </w:t>
      </w:r>
      <w:r>
        <w:rPr>
          <w:i/>
          <w:iCs/>
          <w:lang w:val="en-US"/>
        </w:rPr>
        <w:t xml:space="preserve">Proceedings of the AAAI Conference on Artificial Intelligence</w:t>
      </w:r>
      <w:r>
        <w:rPr>
          <w:lang w:val="en-US"/>
        </w:rPr>
        <w:t xml:space="preserve"> </w:t>
      </w:r>
      <w:r>
        <w:rPr>
          <w:lang w:val="en-US"/>
        </w:rPr>
        <w:t xml:space="preserve">26(1): 864-871. https://doi.org/10.1609/aaai.v26i1.8321</w:t>
      </w:r>
    </w:p>
    <w:p>
      <w:pPr>
        <w:pStyle w:val="References"/>
      </w:pPr>
      <w:r>
        <w:rPr>
          <w:lang w:val="en-US"/>
        </w:rPr>
        <w:t xml:space="preserve">Bertinetto, L.; Henriques, J. F.; Albanie, S.; Paganini, M.; and Varol, G. 2021. Preface. In Bertinetto, L.; Henriques, J. F.; Albanie, S.; Paganini, M.; and Varol, G., eds.,</w:t>
      </w:r>
      <w:r>
        <w:rPr>
          <w:lang w:val="en-US"/>
        </w:rPr>
        <w:t xml:space="preserve"> </w:t>
      </w:r>
      <w:r>
        <w:rPr>
          <w:i/>
          <w:iCs/>
          <w:lang w:val="en-US"/>
        </w:rPr>
        <w:t xml:space="preserve">NeurIPS 2020 Workshop on Pre-registration in Machine Learning</w:t>
      </w:r>
      <w:r>
        <w:rPr>
          <w:lang w:val="en-US"/>
        </w:rPr>
        <w:t xml:space="preserve">, Proceedings of Machine Learning Research 148, i. PMLR. https://proceedings.mlr.press/v148/bertinetto21a.html</w:t>
      </w:r>
    </w:p>
    <w:p>
      <w:pPr>
        <w:pStyle w:val="References"/>
      </w:pPr>
      <w:r>
        <w:rPr>
          <w:lang w:val="en-US"/>
        </w:rPr>
        <w:t xml:space="preserve">Blum, A., and Hardt, M. 2015. The Ladder: A Reliable Leaderboard for Machine Learning Competitions. In Bach, F., and Blei, D., eds.,</w:t>
      </w:r>
      <w:r>
        <w:rPr>
          <w:lang w:val="en-US"/>
        </w:rPr>
        <w:t xml:space="preserve"> </w:t>
      </w:r>
      <w:r>
        <w:rPr>
          <w:i/>
          <w:iCs/>
          <w:lang w:val="en-US"/>
        </w:rPr>
        <w:t xml:space="preserve">Proceedings of the 32nd International Conference on Machine Learning</w:t>
      </w:r>
      <w:r>
        <w:rPr>
          <w:lang w:val="en-US"/>
        </w:rPr>
        <w:t xml:space="preserve">, Proceedings of Machine Learning Research 37, 1006-1014. PMLR. https://proceedings.mlr.press/v37/blum15.html</w:t>
      </w:r>
    </w:p>
    <w:p>
      <w:pPr>
        <w:pStyle w:val="References"/>
      </w:pPr>
      <w:r>
        <w:rPr>
          <w:lang w:val="en-US"/>
        </w:rPr>
        <w:t xml:space="preserve">Bontrager, P.; Khalifa, A.; Mendes, A.; and Togelius, J. 2016. Matching Games and Algorithms for General Video Game Playing.</w:t>
      </w:r>
      <w:r>
        <w:rPr>
          <w:lang w:val="en-US"/>
        </w:rPr>
        <w:t xml:space="preserve"> </w:t>
      </w:r>
      <w:r>
        <w:rPr>
          <w:i/>
          <w:iCs/>
          <w:lang w:val="en-US"/>
        </w:rPr>
        <w:t xml:space="preserve">Proceedings of the AAAI Conference on Artificial Intelligence and Interactive Digital Entertainment</w:t>
      </w:r>
      <w:r>
        <w:rPr>
          <w:lang w:val="en-US"/>
        </w:rPr>
        <w:t xml:space="preserve"> </w:t>
      </w:r>
      <w:r>
        <w:rPr>
          <w:lang w:val="en-US"/>
        </w:rPr>
        <w:t xml:space="preserve">12(1): 122-128. https://doi.org/10.1609/aiide.v12i1.12884</w:t>
      </w:r>
    </w:p>
    <w:p>
      <w:pPr>
        <w:pStyle w:val="References"/>
      </w:pPr>
      <w:r>
        <w:rPr>
          <w:lang w:val="en-US"/>
        </w:rPr>
        <w:t xml:space="preserve">Chevalier-Boisvert, M.; Bahdanau, D.; Lahlou, S.; Willems, L.; Saharia, C.; Nguyen, T. H.; and Bengio, Y. 2019. BabyAI: A Platform to Study the Sample Efficiency of Grounded Language Learning. In</w:t>
      </w:r>
      <w:r>
        <w:rPr>
          <w:lang w:val="en-US"/>
        </w:rPr>
        <w:t xml:space="preserve"> </w:t>
      </w:r>
      <w:r>
        <w:rPr>
          <w:i/>
          <w:iCs/>
          <w:lang w:val="en-US"/>
        </w:rPr>
        <w:t xml:space="preserve">International Conference on Learning Representations</w:t>
      </w:r>
      <w:r>
        <w:rPr>
          <w:lang w:val="en-US"/>
        </w:rPr>
        <w:t xml:space="preserve">. https://openreview.net/forum?id=rJeXCo0cYX</w:t>
      </w:r>
    </w:p>
    <w:p>
      <w:pPr>
        <w:pStyle w:val="References"/>
      </w:pPr>
      <w:r>
        <w:rPr>
          <w:lang w:val="en-US"/>
        </w:rPr>
        <w:t xml:space="preserve">Chevalier-Boisvert, M.; Dai, B.; Towers, M.; Perez-Vicente, R.; Willems, L.; Lahlou, S.; Pal, S.; Castro, P. S.; and Terry, J. 2023. Minigrid &amp; Miniworld: Modular &amp; Customizable Reinforcement Learning Environments for Goal-Oriented Tasks. In</w:t>
      </w:r>
      <w:r>
        <w:rPr>
          <w:lang w:val="en-US"/>
        </w:rPr>
        <w:t xml:space="preserve"> </w:t>
      </w:r>
      <w:r>
        <w:rPr>
          <w:i/>
          <w:iCs/>
          <w:lang w:val="en-US"/>
        </w:rPr>
        <w:t xml:space="preserve">Advances in Neural Information Processing Systems 36</w:t>
      </w:r>
      <w:r>
        <w:rPr>
          <w:lang w:val="en-US"/>
        </w:rPr>
        <w:t xml:space="preserve">, 73383-73394. https://doi.org/10.52202/075280-3209</w:t>
      </w:r>
    </w:p>
    <w:p>
      <w:pPr>
        <w:pStyle w:val="References"/>
      </w:pPr>
      <w:r>
        <w:rPr>
          <w:lang w:val="en-US"/>
        </w:rPr>
        <w:t xml:space="preserve">Choi, J.; Guo, Y.; Moczulski, M.; Oh, J.; Wu, N.; Norouzi, M.; and Lee, H. 2019. Contingency-Aware Exploration in Reinforcement Learning. In</w:t>
      </w:r>
      <w:r>
        <w:rPr>
          <w:lang w:val="en-US"/>
        </w:rPr>
        <w:t xml:space="preserve"> </w:t>
      </w:r>
      <w:r>
        <w:rPr>
          <w:i/>
          <w:iCs/>
          <w:lang w:val="en-US"/>
        </w:rPr>
        <w:t xml:space="preserve">International Conference on Learning Representations</w:t>
      </w:r>
      <w:r>
        <w:rPr>
          <w:lang w:val="en-US"/>
        </w:rPr>
        <w:t xml:space="preserve">. https://openreview.net/forum?id=HyxGB2AcY7</w:t>
      </w:r>
    </w:p>
    <w:p>
      <w:pPr>
        <w:pStyle w:val="References"/>
      </w:pPr>
      <w:r>
        <w:rPr>
          <w:lang w:val="en-US"/>
        </w:rPr>
        <w:t xml:space="preserve">Chollet, F. 2019. On the Measure of Intelligence. Preprint, arXiv. https://arxiv.org/abs/1911.01547</w:t>
      </w:r>
    </w:p>
    <w:p>
      <w:pPr>
        <w:pStyle w:val="References"/>
      </w:pPr>
      <w:r>
        <w:rPr>
          <w:lang w:val="en-US"/>
        </w:rPr>
        <w:t xml:space="preserve">Cobbe, K.; Hesse, C.; Hilton, J.; and Schulman, J. 2020. Leveraging Procedural Generation to Benchmark Reinforcement Learning. In Daumé III, H., and Singh, A., eds.,</w:t>
      </w:r>
      <w:r>
        <w:rPr>
          <w:lang w:val="en-US"/>
        </w:rPr>
        <w:t xml:space="preserve"> </w:t>
      </w:r>
      <w:r>
        <w:rPr>
          <w:i/>
          <w:iCs/>
          <w:lang w:val="en-US"/>
        </w:rPr>
        <w:t xml:space="preserve">Proceedings of the 37th International Conference on Machine Learning</w:t>
      </w:r>
      <w:r>
        <w:rPr>
          <w:lang w:val="en-US"/>
        </w:rPr>
        <w:t xml:space="preserve">, Proceedings of Machine Learning Research 119, 2048-2056. PMLR. https://proceedings.mlr.press/v119/cobbe20a.html</w:t>
      </w:r>
    </w:p>
    <w:p>
      <w:pPr>
        <w:pStyle w:val="References"/>
      </w:pPr>
      <w:r>
        <w:rPr>
          <w:lang w:val="en-US"/>
        </w:rPr>
        <w:t xml:space="preserve">Gaina, R. D.; Lucas, S. M.; and Perez-Liebana, D. 2018. General Win Prediction from Agent Experience. In</w:t>
      </w:r>
      <w:r>
        <w:rPr>
          <w:lang w:val="en-US"/>
        </w:rPr>
        <w:t xml:space="preserve"> </w:t>
      </w:r>
      <w:r>
        <w:rPr>
          <w:i/>
          <w:iCs/>
          <w:lang w:val="en-US"/>
        </w:rPr>
        <w:t xml:space="preserve">2018 IEEE Conference on Computational Intelligence and Games (CIG)</w:t>
      </w:r>
      <w:r>
        <w:rPr>
          <w:lang w:val="en-US"/>
        </w:rPr>
        <w:t xml:space="preserve">, 1-8. https://doi.org/10.1109/CIG.2018.8490439</w:t>
      </w:r>
    </w:p>
    <w:p>
      <w:pPr>
        <w:pStyle w:val="References"/>
      </w:pPr>
      <w:r>
        <w:rPr>
          <w:lang w:val="en-US"/>
        </w:rPr>
        <w:t xml:space="preserve">Genesereth, M.; Love, N.; and Pell, B. 2005. General Game Playing: Overview of the AAAI Competition.</w:t>
      </w:r>
      <w:r>
        <w:rPr>
          <w:lang w:val="en-US"/>
        </w:rPr>
        <w:t xml:space="preserve"> </w:t>
      </w:r>
      <w:r>
        <w:rPr>
          <w:i/>
          <w:iCs/>
          <w:lang w:val="en-US"/>
        </w:rPr>
        <w:t xml:space="preserve">AI Magazine</w:t>
      </w:r>
      <w:r>
        <w:rPr>
          <w:lang w:val="en-US"/>
        </w:rPr>
        <w:t xml:space="preserve"> </w:t>
      </w:r>
      <w:r>
        <w:rPr>
          <w:lang w:val="en-US"/>
        </w:rPr>
        <w:t xml:space="preserve">26(2): 62-72. https://doi.org/10.1609/aimag.v26i2.1813</w:t>
      </w:r>
    </w:p>
    <w:p>
      <w:pPr>
        <w:pStyle w:val="References"/>
      </w:pPr>
      <w:r>
        <w:rPr>
          <w:lang w:val="en-US"/>
        </w:rPr>
        <w:t xml:space="preserve">Goldman, S. A., and Kearns, M. J. 1995. On the Complexity of Teaching.</w:t>
      </w:r>
      <w:r>
        <w:rPr>
          <w:lang w:val="en-US"/>
        </w:rPr>
        <w:t xml:space="preserve"> </w:t>
      </w:r>
      <w:r>
        <w:rPr>
          <w:i/>
          <w:iCs/>
          <w:lang w:val="en-US"/>
        </w:rPr>
        <w:t xml:space="preserve">Journal of Computer and System Sciences</w:t>
      </w:r>
      <w:r>
        <w:rPr>
          <w:lang w:val="en-US"/>
        </w:rPr>
        <w:t xml:space="preserve"> </w:t>
      </w:r>
      <w:r>
        <w:rPr>
          <w:lang w:val="en-US"/>
        </w:rPr>
        <w:t xml:space="preserve">50(1): 20-31. https://doi.org/10.1006/jcss.1995.1003</w:t>
      </w:r>
    </w:p>
    <w:p>
      <w:pPr>
        <w:pStyle w:val="References"/>
      </w:pPr>
      <w:r>
        <w:rPr>
          <w:lang w:val="en-US"/>
        </w:rPr>
        <w:t xml:space="preserve">Keren, S.; Gal, A.; and Karpas, E. 2014. Goal Recognition Design.</w:t>
      </w:r>
      <w:r>
        <w:rPr>
          <w:lang w:val="en-US"/>
        </w:rPr>
        <w:t xml:space="preserve"> </w:t>
      </w:r>
      <w:r>
        <w:rPr>
          <w:i/>
          <w:iCs/>
          <w:lang w:val="en-US"/>
        </w:rPr>
        <w:t xml:space="preserve">Proceedings of the International Conference on Automated Planning and Scheduling</w:t>
      </w:r>
      <w:r>
        <w:rPr>
          <w:lang w:val="en-US"/>
        </w:rPr>
        <w:t xml:space="preserve"> </w:t>
      </w:r>
      <w:r>
        <w:rPr>
          <w:lang w:val="en-US"/>
        </w:rPr>
        <w:t xml:space="preserve">24(1): 154-162. https://doi.org/10.1609/icaps.v24i1.13617</w:t>
      </w:r>
    </w:p>
    <w:p>
      <w:pPr>
        <w:pStyle w:val="References"/>
      </w:pPr>
      <w:r>
        <w:rPr>
          <w:lang w:val="en-US"/>
        </w:rPr>
        <w:t xml:space="preserve">Laidlaw, C.; Russell, S. J.; and Dragan, A. 2023. Bridging RL Theory and Practice with the Effective Horizon. In</w:t>
      </w:r>
      <w:r>
        <w:rPr>
          <w:lang w:val="en-US"/>
        </w:rPr>
        <w:t xml:space="preserve"> </w:t>
      </w:r>
      <w:r>
        <w:rPr>
          <w:i/>
          <w:iCs/>
          <w:lang w:val="en-US"/>
        </w:rPr>
        <w:t xml:space="preserve">Advances in Neural Information Processing Systems 36</w:t>
      </w:r>
      <w:r>
        <w:rPr>
          <w:lang w:val="en-US"/>
        </w:rPr>
        <w:t xml:space="preserve">, 58953-59007. https://doi.org/10.52202/075280-2573</w:t>
      </w:r>
    </w:p>
    <w:p>
      <w:pPr>
        <w:pStyle w:val="References"/>
      </w:pPr>
      <w:r>
        <w:rPr>
          <w:lang w:val="en-US"/>
        </w:rPr>
        <w:t xml:space="preserve">Legg, S., and Hutter, M. 2007. Universal Intelligence: A Definition of Machine Intelligence.</w:t>
      </w:r>
      <w:r>
        <w:rPr>
          <w:lang w:val="en-US"/>
        </w:rPr>
        <w:t xml:space="preserve"> </w:t>
      </w:r>
      <w:r>
        <w:rPr>
          <w:i/>
          <w:iCs/>
          <w:lang w:val="en-US"/>
        </w:rPr>
        <w:t xml:space="preserve">Minds and Machines</w:t>
      </w:r>
      <w:r>
        <w:rPr>
          <w:lang w:val="en-US"/>
        </w:rPr>
        <w:t xml:space="preserve"> </w:t>
      </w:r>
      <w:r>
        <w:rPr>
          <w:lang w:val="en-US"/>
        </w:rPr>
        <w:t xml:space="preserve">17(4): 391-444. https://doi.org/10.1007/s11023-007-9079-x</w:t>
      </w:r>
    </w:p>
    <w:p>
      <w:pPr>
        <w:pStyle w:val="References"/>
      </w:pPr>
      <w:r>
        <w:rPr>
          <w:lang w:val="en-US"/>
        </w:rPr>
        <w:t xml:space="preserve">Liew, K. H. 2026. Explore Before You Solve: The Speed-Depth Trade-off in Epistemic Agents for ARC-AGI-3. Preprint, arXiv. https://arxiv.org/abs/2605.25931</w:t>
      </w:r>
    </w:p>
    <w:p>
      <w:pPr>
        <w:pStyle w:val="References"/>
      </w:pPr>
      <w:r>
        <w:rPr>
          <w:lang w:val="en-US"/>
        </w:rPr>
        <w:t xml:space="preserve">Mitchell, T. M. 1982. Generalization as Search.</w:t>
      </w:r>
      <w:r>
        <w:rPr>
          <w:lang w:val="en-US"/>
        </w:rPr>
        <w:t xml:space="preserve"> </w:t>
      </w:r>
      <w:r>
        <w:rPr>
          <w:i/>
          <w:iCs/>
          <w:lang w:val="en-US"/>
        </w:rPr>
        <w:t xml:space="preserve">Artificial Intelligence</w:t>
      </w:r>
      <w:r>
        <w:rPr>
          <w:lang w:val="en-US"/>
        </w:rPr>
        <w:t xml:space="preserve"> </w:t>
      </w:r>
      <w:r>
        <w:rPr>
          <w:lang w:val="en-US"/>
        </w:rPr>
        <w:t xml:space="preserve">18(2): 203-226. https://doi.org/10.1016/0004-3702(82)90040-6</w:t>
      </w:r>
    </w:p>
    <w:p>
      <w:pPr>
        <w:pStyle w:val="References"/>
      </w:pPr>
      <w:r>
        <w:rPr>
          <w:lang w:val="en-US"/>
        </w:rPr>
        <w:t xml:space="preserve">Perez-Liebana, D.; Samothrakis, S.; Togelius, J.; Schaul, T.; Lucas, S. M.; Couetoux, A.; Lee, J.; Lim, C.-U.; and Thompson, T. 2016. The 2014 General Video Game Playing Competition.</w:t>
      </w:r>
      <w:r>
        <w:rPr>
          <w:lang w:val="en-US"/>
        </w:rPr>
        <w:t xml:space="preserve"> </w:t>
      </w:r>
      <w:r>
        <w:rPr>
          <w:i/>
          <w:iCs/>
          <w:lang w:val="en-US"/>
        </w:rPr>
        <w:t xml:space="preserve">IEEE Transactions on Computational Intelligence and AI in Games</w:t>
      </w:r>
      <w:r>
        <w:rPr>
          <w:lang w:val="en-US"/>
        </w:rPr>
        <w:t xml:space="preserve"> </w:t>
      </w:r>
      <w:r>
        <w:rPr>
          <w:lang w:val="en-US"/>
        </w:rPr>
        <w:t xml:space="preserve">8(3): 229-243. https://doi.org/10.1109/TCIAIG.2015.2402393</w:t>
      </w:r>
    </w:p>
    <w:p>
      <w:pPr>
        <w:pStyle w:val="References"/>
      </w:pPr>
      <w:r>
        <w:rPr>
          <w:lang w:val="en-US"/>
        </w:rPr>
        <w:t xml:space="preserve">Perez-Liebana, D.; Liu, J.; Khalifa, A.; Gaina, R. D.; Togelius, J.; and Lucas, S. M. 2019. General Video Game AI: A Multitrack Framework for Evaluating Agents, Games, and Content Generation Algorithms.</w:t>
      </w:r>
      <w:r>
        <w:rPr>
          <w:lang w:val="en-US"/>
        </w:rPr>
        <w:t xml:space="preserve"> </w:t>
      </w:r>
      <w:r>
        <w:rPr>
          <w:i/>
          <w:iCs/>
          <w:lang w:val="en-US"/>
        </w:rPr>
        <w:t xml:space="preserve">IEEE Transactions on Games</w:t>
      </w:r>
      <w:r>
        <w:rPr>
          <w:lang w:val="en-US"/>
        </w:rPr>
        <w:t xml:space="preserve"> </w:t>
      </w:r>
      <w:r>
        <w:rPr>
          <w:lang w:val="en-US"/>
        </w:rPr>
        <w:t xml:space="preserve">11(3): 195-214. https://doi.org/10.1109/TG.2019.2901021</w:t>
      </w:r>
    </w:p>
    <w:p>
      <w:pPr>
        <w:pStyle w:val="References"/>
      </w:pPr>
      <w:r>
        <w:rPr>
          <w:lang w:val="en-US"/>
        </w:rPr>
        <w:t xml:space="preserve">Roelofs, R.; Shankar, V.; Recht, B.; Fridovich-Keil, S.; Hardt, M.; Miller, J.; and Schmidt, L. 2019. A Meta-Analysis of Overfitting in Machine Learning. In</w:t>
      </w:r>
      <w:r>
        <w:rPr>
          <w:lang w:val="en-US"/>
        </w:rPr>
        <w:t xml:space="preserve"> </w:t>
      </w:r>
      <w:r>
        <w:rPr>
          <w:i/>
          <w:iCs/>
          <w:lang w:val="en-US"/>
        </w:rPr>
        <w:t xml:space="preserve">Advances in Neural Information Processing Systems 32</w:t>
      </w:r>
      <w:r>
        <w:rPr>
          <w:lang w:val="en-US"/>
        </w:rPr>
        <w:t xml:space="preserve">. https://papers.nips.cc/paper_files/paper/2019/hash/ee39e503b6bedf0c98c388b7e8589aca-Abstract.html</w:t>
      </w:r>
    </w:p>
    <w:p>
      <w:pPr>
        <w:pStyle w:val="References"/>
      </w:pPr>
      <w:r>
        <w:rPr>
          <w:lang w:val="en-US"/>
        </w:rPr>
        <w:t xml:space="preserve">Rudakov, E.; Shock, J.; and Cowley, B. U. 2025. Graph-Based Exploration for ARC-AGI-3 Interactive Reasoning Tasks. Preprint, arXiv. https://arxiv.org/abs/2512.24156</w:t>
      </w:r>
    </w:p>
    <w:p>
      <w:pPr>
        <w:pStyle w:val="References"/>
      </w:pPr>
      <w:r>
        <w:rPr>
          <w:lang w:val="en-US"/>
        </w:rPr>
        <w:t xml:space="preserve">Skoutnev, A.; Acharya, K.; Longhitano, G.; Udell, M.; Ellis, K.; and Drori, I. 2026. Twin: Playing an Unknown Game with a Test-Time Digital Twin. Preprint, arXiv. https://arxiv.org/abs/2608.14490</w:t>
      </w:r>
    </w:p>
    <w:p>
      <w:pPr>
        <w:pStyle w:val="References"/>
      </w:pPr>
      <w:r>
        <w:rPr>
          <w:lang w:val="en-US"/>
        </w:rPr>
        <w:t xml:space="preserve">Wayllace, C.; Hou, P.; Yeoh, W.; and Son, T. C. 2016. Goal Recognition Design with Stochastic Agent Action Outcomes. In</w:t>
      </w:r>
      <w:r>
        <w:rPr>
          <w:lang w:val="en-US"/>
        </w:rPr>
        <w:t xml:space="preserve"> </w:t>
      </w:r>
      <w:r>
        <w:rPr>
          <w:i/>
          <w:iCs/>
          <w:lang w:val="en-US"/>
        </w:rPr>
        <w:t xml:space="preserve">Proceedings of the Twenty-Fifth International Joint Conference on Artificial Intelligence (IJCAI-16)</w:t>
      </w:r>
      <w:r>
        <w:rPr>
          <w:lang w:val="en-US"/>
        </w:rPr>
        <w:t xml:space="preserve">, 3279-3285. https://www.ijcai.org/Proceedings/16/Papers/464.pdf</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yyyy-mm-dd</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40017926">
    <w:abstractNumId w:val="2"/>
  </w:num>
  <w:num w:numId="2" w16cid:durableId="149949780">
    <w:abstractNumId w:val="0"/>
  </w:num>
  <w:num w:numId="3" w16cid:durableId="119299223">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Frame-Only Census of Game Mechanics Built on ARC-AGI-3 Failed a Preregistered Generality Test on MiniGrid/BabyAI and Procgen</dc:title>
  <dc:creator>Rahul Kumar Mishra</dc:creator>
  <dc:language>en-US</dc:language>
  <cp:keywords/>
  <dcterms:created xsi:type="dcterms:W3CDTF">2026-10-24T09:06:22Z</dcterms:created>
  <dcterms:modified xsi:type="dcterms:W3CDTF">2026-10-24T09:06:22Z</dcterms:modified>
</cp:coreProperties>
</file>

<file path=docProps/custom.xml><?xml version="1.0" encoding="utf-8"?>
<Properties xmlns="http://schemas.openxmlformats.org/officeDocument/2006/custom-properties" xmlns:vt="http://schemas.openxmlformats.org/officeDocument/2006/docPropsVTypes"/>
</file>