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Smartphone-Based</w:t>
      </w:r>
      <w:r>
        <w:t xml:space="preserve"> </w:t>
      </w:r>
      <w:r>
        <w:t xml:space="preserve">mTBI</w:t>
      </w:r>
      <w:r>
        <w:t xml:space="preserve"> </w:t>
      </w:r>
      <w:r>
        <w:t xml:space="preserve">Screening</w:t>
      </w:r>
      <w:r>
        <w:t xml:space="preserve"> </w:t>
      </w:r>
      <w:r>
        <w:t xml:space="preserve">Tool</w:t>
      </w:r>
      <w:r>
        <w:t xml:space="preserve"> </w:t>
      </w:r>
      <w:r>
        <w:t xml:space="preserve">Using</w:t>
      </w:r>
      <w:r>
        <w:t xml:space="preserve"> </w:t>
      </w:r>
      <w:r>
        <w:t xml:space="preserve">Pupillometry</w:t>
      </w:r>
    </w:p>
    <w:p>
      <w:pPr>
        <w:pStyle w:val="Author"/>
      </w:pPr>
      <w:r>
        <w:t xml:space="preserve">Suleiman</w:t>
      </w:r>
      <w:r>
        <w:t xml:space="preserve"> </w:t>
      </w:r>
      <w:r>
        <w:t xml:space="preserve">Mahmood,</w:t>
      </w:r>
      <w:r>
        <w:t xml:space="preserve"> </w:t>
      </w:r>
      <w:r>
        <w:t xml:space="preserve">Victor</w:t>
      </w:r>
      <w:r>
        <w:t xml:space="preserve"> </w:t>
      </w:r>
      <w:r>
        <w:t xml:space="preserve">Moreno,</w:t>
      </w:r>
      <w:r>
        <w:t xml:space="preserve"> </w:t>
      </w:r>
      <w:r>
        <w:t xml:space="preserve">Eesh</w:t>
      </w:r>
      <w:r>
        <w:t xml:space="preserve"> </w:t>
      </w:r>
      <w:r>
        <w:t xml:space="preserve">Mishra,</w:t>
      </w:r>
      <w:r>
        <w:t xml:space="preserve"> </w:t>
      </w:r>
      <w:r>
        <w:t xml:space="preserve">Rahul</w:t>
      </w:r>
      <w:r>
        <w:t xml:space="preserve"> </w:t>
      </w:r>
      <w:r>
        <w:t xml:space="preserve">Marchand</w:t>
      </w:r>
      <w:r>
        <w:br/>
      </w:r>
      <w:r>
        <w:rPr>
          <w:iCs/>
          <w:i/>
        </w:rPr>
        <w:t xml:space="preserve">(Equal</w:t>
      </w:r>
      <w:r>
        <w:rPr>
          <w:iCs/>
          <w:i/>
        </w:rPr>
        <w:t xml:space="preserve"> </w:t>
      </w:r>
      <w:r>
        <w:rPr>
          <w:iCs/>
          <w:i/>
        </w:rPr>
        <w:t xml:space="preserve">contribution)</w:t>
      </w:r>
    </w:p>
    <w:p>
      <w:pPr>
        <w:pStyle w:val="Date"/>
      </w:pPr>
      <w:r>
        <w:t xml:space="preserve">Trinity</w:t>
      </w:r>
      <w:r>
        <w:t xml:space="preserve"> </w:t>
      </w:r>
      <w:r>
        <w:t xml:space="preserve">Term,</w:t>
      </w:r>
      <w:r>
        <w:t xml:space="preserve"> </w:t>
      </w:r>
      <w:r>
        <w:t xml:space="preserve">2026</w:t>
      </w:r>
    </w:p>
    <w:bookmarkStart w:id="24" w:name="chapter:introduction"/>
    <w:p>
      <w:pPr>
        <w:pStyle w:val="Heading1"/>
      </w:pPr>
      <w:r>
        <w:t xml:space="preserve">Introduction</w:t>
      </w:r>
    </w:p>
    <w:bookmarkStart w:id="20" w:name="clinical-need"/>
    <w:p>
      <w:pPr>
        <w:pStyle w:val="Heading2"/>
      </w:pPr>
      <w:r>
        <w:t xml:space="preserve">Clinical Need</w:t>
      </w:r>
    </w:p>
    <w:p>
      <w:pPr>
        <w:pStyle w:val="FirstParagraph"/>
      </w:pPr>
      <w:r>
        <w:t xml:space="preserve">Mild traumatic brain injury (), commonly known as concussion, represents a global public health crisis of staggering magnitude. An estimated 69 million people (95% confidence interval: 64–74 million) sustain traumatic brain injury annually worldwide </w:t>
      </w:r>
      <w:r>
        <w:t xml:space="preserve">(Dewan et al. 2019)</w:t>
      </w:r>
      <w:r>
        <w:t xml:space="preserve">. The World Health Organization systematic review indicates that 70-90% of all traumatic brain injuries are classified as mild, making the dominant category of brain injury </w:t>
      </w:r>
      <w:r>
        <w:t xml:space="preserve">(Cassidy et al. 2004)</w:t>
      </w:r>
      <w:r>
        <w:t xml:space="preserve">. In the United States alone, traumatic brain injury resulted in 2.87 million emergency department visits, hospitalizations, and deaths in 2014, though this figure likely substantially underestimates true burden as many cases never seek medical attention </w:t>
      </w:r>
      <w:r>
        <w:t xml:space="preserve">(Peterson et al. 2019)</w:t>
      </w:r>
      <w:r>
        <w:t xml:space="preserve">.</w:t>
      </w:r>
    </w:p>
    <w:p>
      <w:pPr>
        <w:pStyle w:val="BodyText"/>
      </w:pPr>
      <w:r>
        <w:t xml:space="preserve">The problem is particularly acute in grassroots and youth sports, where the vast majority of head injuries occur in settings without medical supervision. Parents, teachers, coaches, and referees serve as first responders to potential head injuries, yet lack access to objective screening tools. These untrained observers must rely on visible signs and athlete self-reporting to make critical decisions about whether medical evaluation is warranted. Research demonstrates the inadequacy of this approach: approximately 50% of concussions in high school and youth sports are never reported at the time of injury, with athletes failing to recognise the injury as serious or being unwilling to remove themselves from competition </w:t>
      </w:r>
      <w:r>
        <w:t xml:space="preserve">(McCrea et al. 2004; Register-Mihalik et al. 2013)</w:t>
      </w:r>
      <w:r>
        <w:t xml:space="preserve">. Athletes minimise symptoms to continue playing, and untrained observers cannot detect subtle neurological dysfunction without quantitative measurement tools.</w:t>
      </w:r>
    </w:p>
    <w:p>
      <w:pPr>
        <w:pStyle w:val="BodyText"/>
      </w:pPr>
      <w:r>
        <w:t xml:space="preserve">The clinical consequences of missed or delayed diagnosis are severe. Second impact syndrome, occurring when a second head injury is sustained before complete recovery from the initial concussion, results in catastrophic cerebral edema and brain herniation, often proving fatal </w:t>
      </w:r>
      <w:r>
        <w:t xml:space="preserve">(Weinstein et al. 2024)</w:t>
      </w:r>
      <w:r>
        <w:t xml:space="preserve">. Even without repeated injury, post-concussive syndrome affects 15% of adults following  </w:t>
      </w:r>
      <w:r>
        <w:t xml:space="preserve">(Permenter, Fernández-de Thomas, and Sherman 2024)</w:t>
      </w:r>
      <w:r>
        <w:t xml:space="preserve">, with up to 50% of patients experiencing symptoms at three months post-injury. Notably, 27% are unable to return to their previous level of work at 12 months </w:t>
      </w:r>
      <w:r>
        <w:t xml:space="preserve">(Mortaheb et al. 2021)</w:t>
      </w:r>
      <w:r>
        <w:t xml:space="preserve">. Early identification is therefore critical to enable appropriate management, prevent premature return to activities that risk repeated injury, and reduce the likelihood of long-term sequelae.</w:t>
      </w:r>
    </w:p>
    <w:p>
      <w:pPr>
        <w:pStyle w:val="BodyText"/>
      </w:pPr>
      <w:r>
        <w:t xml:space="preserve">There exists an urgent unmet need for an accessible, objective screening tool deployable at the point of injury by non-medical personnel in grassroots sports settings.</w:t>
      </w:r>
    </w:p>
    <w:bookmarkEnd w:id="20"/>
    <w:bookmarkStart w:id="21" w:name="limitations-of-existing-approaches"/>
    <w:p>
      <w:pPr>
        <w:pStyle w:val="Heading2"/>
      </w:pPr>
      <w:r>
        <w:t xml:space="preserve">Limitations of Existing Approaches</w:t>
      </w:r>
    </w:p>
    <w:p>
      <w:pPr>
        <w:pStyle w:val="FirstParagraph"/>
      </w:pPr>
      <w:r>
        <w:t xml:space="preserve">Current approaches to assessment fall into two categories, neither of which addresses the identified need for point-of-injury screening in non-medical settings.</w:t>
      </w:r>
    </w:p>
    <w:p>
      <w:pPr>
        <w:pStyle w:val="BodyText"/>
      </w:pPr>
      <w:r>
        <w:rPr>
          <w:bCs/>
          <w:b/>
        </w:rPr>
        <w:t xml:space="preserve">The accessibility gap.</w:t>
      </w:r>
      <w:r>
        <w:t xml:space="preserve"> </w:t>
      </w:r>
      <w:r>
        <w:t xml:space="preserve">Clinical sideline assessment tools include the , intended for use by healthcare professionals, and the Concussion Recognition Tool 6 (CRT6), designed for use by non-medical personnel </w:t>
      </w:r>
      <w:r>
        <w:t xml:space="preserve">(Echemendia, Brett, et al. 2023; Echemendia, Ahmed, et al. 2023)</w:t>
      </w:r>
      <w:r>
        <w:t xml:space="preserve">. provides comprehensive evaluation combining symptom inventories, cognitive screening, neurological examination, and balance testing, but requires medical training for proper administration and interpretation, training that parents, teachers, and coaches in grassroots settings do not possess. CRT6, though designed for laypersons, provides only basic observational screening without quantitative metrics, requiring the observer to make subjective judgments about concerning signs. The most recent American Congress of Rehabilitation Medicine diagnostic criteria for explicitly acknowledge that diagnosis remains clinical, with no validated stand-alone objective diagnostic test available even to trained clinicians </w:t>
      </w:r>
      <w:r>
        <w:t xml:space="preserve">(Silverberg et al. 2023)</w:t>
      </w:r>
      <w:r>
        <w:t xml:space="preserve">. Commercial quantitative pupillometry devices provide objective measurement but cost thousands of pounds and are designed for medical facilities rather than field deployment. The fundamental problem is not inadequacy of medical assessment, but rather the absence of tools deployable by non-medical personnel in the grassroots settings where the vast majority of head injuries occur.</w:t>
      </w:r>
    </w:p>
    <w:p>
      <w:pPr>
        <w:pStyle w:val="BodyText"/>
      </w:pPr>
      <w:r>
        <w:rPr>
          <w:bCs/>
          <w:b/>
        </w:rPr>
        <w:t xml:space="preserve">The patient cooperation problem.</w:t>
      </w:r>
      <w:r>
        <w:t xml:space="preserve"> </w:t>
      </w:r>
      <w:r>
        <w:t xml:space="preserve">All assessment approaches that depend on patient self-reporting, whether administered by clinicians or laypersons, are vulnerable to symptom minimisation by athletes motivated to return to play </w:t>
      </w:r>
      <w:r>
        <w:t xml:space="preserve">(McCrea et al. 2004; Meier et al. 2015)</w:t>
      </w:r>
      <w:r>
        <w:t xml:space="preserve">. Athletes systematically underreport symptoms when assessed by team personnel compared to confidential research settings, with cleared athletes continuing to minimise symptoms even days post-concussion </w:t>
      </w:r>
      <w:r>
        <w:t xml:space="preserve">(Meier et al. 2015)</w:t>
      </w:r>
      <w:r>
        <w:t xml:space="preserve">. This behaviour renders symptom-based assessment fundamentally unreliable regardless of who administers the evaluation. Even trained medical professionals face this challenge: athletes conceal or downplay symptoms to avoid removal from play, making subjective reporting an inadequate foundation for screening decisions.</w:t>
      </w:r>
    </w:p>
    <w:p>
      <w:pPr>
        <w:pStyle w:val="BodyText"/>
      </w:pPr>
      <w:r>
        <w:rPr>
          <w:bCs/>
          <w:b/>
        </w:rPr>
        <w:t xml:space="preserve">The need for objective automation.</w:t>
      </w:r>
      <w:r>
        <w:t xml:space="preserve"> </w:t>
      </w:r>
      <w:r>
        <w:t xml:space="preserve">Manual clinical examination of neurological signs introduces additional variability, even when performed by trained medical personnel. Studies demonstrate that only 33.3% of pupils assessed as non-reactive by practitioners were classified similarly by automated pupillometry, with inter-rater reliability between clinicians achieving only moderate agreement </w:t>
      </w:r>
      <w:r>
        <w:t xml:space="preserve">(Olson et al. 2016)</w:t>
      </w:r>
      <w:r>
        <w:t xml:space="preserve">. This variability reflects the inherent limitations of subjective visual assessment of subtle physiological responses. Automated quantitative measurement addresses both the training barrier and the subjectivity problem: involuntary physiological responses such as pupillary light reflex cannot be consciously suppressed by motivated athletes, and automated tracking eliminates inter-observer variability.</w:t>
      </w:r>
    </w:p>
    <w:p>
      <w:pPr>
        <w:pStyle w:val="BodyText"/>
      </w:pPr>
      <w:r>
        <w:rPr>
          <w:bCs/>
          <w:b/>
        </w:rPr>
        <w:t xml:space="preserve">Laboratory-based approaches unsuitable for field deployment.</w:t>
      </w:r>
      <w:r>
        <w:t xml:space="preserve"> </w:t>
      </w:r>
      <w:r>
        <w:t xml:space="preserve">Alternative approaches utilising objective biomarkers face different but equally disqualifying limitations for point-of-injury screening in grassroots settings. Blood biomarkers, despite demonstrating high sensitivity, require venipuncture by trained personnel, sample transport to laboratory facilities, and processing time of hours to days, rendering them completely unsuitable for immediate field-based screening by parents, teachers, or coaches. Similarly, neuroimaging modalities remain insensitive to the diffuse axonal injury that characterises and require access to hospital facilities, precluding deployment at the point of injury (detailed discussion in ).</w:t>
      </w:r>
    </w:p>
    <w:p>
      <w:pPr>
        <w:pStyle w:val="BodyText"/>
      </w:pPr>
      <w:r>
        <w:t xml:space="preserve">The gap is clear: tools offering objective quantitative measurement require medical facilities, trained personnel, and substantial cost, while tools potentially deployable in field settings lack quantitative metrics and depend on subjective evaluation or patient cooperation. No accessible, objective, quantitative screening tool exists for use by untrained personnel at the point of injury in grassroots sports settings.</w:t>
      </w:r>
    </w:p>
    <w:bookmarkEnd w:id="21"/>
    <w:bookmarkStart w:id="22" w:name="project-objectives"/>
    <w:p>
      <w:pPr>
        <w:pStyle w:val="Heading2"/>
      </w:pPr>
      <w:r>
        <w:t xml:space="preserve">Project Objectives</w:t>
      </w:r>
    </w:p>
    <w:p>
      <w:pPr>
        <w:pStyle w:val="FirstParagraph"/>
      </w:pPr>
      <w:r>
        <w:t xml:space="preserve">This project addresses the identified gap by developing an automated, smartphone-based multi-parameter oculomotor assessment system for screening deployable in non-clinical settings. The fundamental objective is to provide parents, teachers, coaches, and other first responders with an objective, quantitative screening tool requiring no medical training that can identify individuals requiring further medical evaluation following head injury.</w:t>
      </w:r>
    </w:p>
    <w:p>
      <w:pPr>
        <w:pStyle w:val="BodyText"/>
      </w:pPr>
      <w:r>
        <w:t xml:space="preserve">The approach is motivated by compelling evidence that oculomotor dysfunction represents a hallmark feature of . Studies consistently demonstrate that the majority of individuals with exhibit abnormalities in eye movements and pupillary responses </w:t>
      </w:r>
      <w:r>
        <w:t xml:space="preserve">(McDonald, Holdsworth, and Danesh-Meyer 2022)</w:t>
      </w:r>
      <w:r>
        <w:t xml:space="preserve">. This high prevalence reflects the vulnerability of distributed oculomotor control networks, spanning cortex, brainstem, and cerebellum, to the diffuse axonal injury that characterises (detailed pathophysiology and prevalence data presented in ).</w:t>
      </w:r>
    </w:p>
    <w:p>
      <w:pPr>
        <w:pStyle w:val="BodyText"/>
      </w:pPr>
      <w:r>
        <w:t xml:space="preserve">The system implements three complementary oculomotor assessments: , smooth pursuit eye movements, and vergence (). Each biomarker provides independent diagnostic information, and multi-parameter assessment combining these biomarkers achieves superior diagnostic performance compared to any single measure. Recent smartphone-based pupillometry research has demonstrated the technical feasibility of this approach, with published systems achieving diagnostic accuracy substantially exceeding conventional clinical tools </w:t>
      </w:r>
      <w:r>
        <w:t xml:space="preserve">(Maxin et al. 2024)</w:t>
      </w:r>
      <w:r>
        <w:t xml:space="preserve">.</w:t>
      </w:r>
    </w:p>
    <w:p>
      <w:pPr>
        <w:pStyle w:val="BodyText"/>
      </w:pPr>
      <w:r>
        <w:t xml:space="preserve">The system is designed to meet the following requirements addressing the limitations of existing approaches:</w:t>
      </w:r>
    </w:p>
    <w:p>
      <w:pPr>
        <w:numPr>
          <w:ilvl w:val="0"/>
          <w:numId w:val="1001"/>
        </w:numPr>
      </w:pPr>
      <w:r>
        <w:rPr>
          <w:bCs/>
          <w:b/>
        </w:rPr>
        <w:t xml:space="preserve">Accessible deployment:</w:t>
      </w:r>
      <w:r>
        <w:t xml:space="preserve"> </w:t>
      </w:r>
      <w:r>
        <w:t xml:space="preserve">Smartphone-based implementation utilising consumer device cameras eliminates the cost barrier of specialised medical equipment and enables deployment in any setting where smartphones are available.</w:t>
      </w:r>
    </w:p>
    <w:p>
      <w:pPr>
        <w:numPr>
          <w:ilvl w:val="0"/>
          <w:numId w:val="1001"/>
        </w:numPr>
      </w:pPr>
      <w:r>
        <w:rPr>
          <w:bCs/>
          <w:b/>
        </w:rPr>
        <w:t xml:space="preserve">Usability by non-experts:</w:t>
      </w:r>
      <w:r>
        <w:t xml:space="preserve"> </w:t>
      </w:r>
      <w:r>
        <w:t xml:space="preserve">Automated stimulus delivery and analysis eliminate the need for medical training or subjective interpretation.</w:t>
      </w:r>
    </w:p>
    <w:p>
      <w:pPr>
        <w:numPr>
          <w:ilvl w:val="0"/>
          <w:numId w:val="1001"/>
        </w:numPr>
      </w:pPr>
      <w:r>
        <w:rPr>
          <w:bCs/>
          <w:b/>
        </w:rPr>
        <w:t xml:space="preserve">Objective measurement:</w:t>
      </w:r>
      <w:r>
        <w:t xml:space="preserve"> </w:t>
      </w:r>
      <w:r>
        <w:t xml:space="preserve">Quantitative tracking of involuntary physiological responses provides assessment independent of patient self-reporting or effort, addressing the symptom minimisation that contributes to underreporting.</w:t>
      </w:r>
    </w:p>
    <w:p>
      <w:pPr>
        <w:numPr>
          <w:ilvl w:val="0"/>
          <w:numId w:val="1001"/>
        </w:numPr>
      </w:pPr>
      <w:r>
        <w:rPr>
          <w:bCs/>
          <w:b/>
        </w:rPr>
        <w:t xml:space="preserve">High sensitivity:</w:t>
      </w:r>
      <w:r>
        <w:t xml:space="preserve"> </w:t>
      </w:r>
      <w:r>
        <w:t xml:space="preserve">The design prioritises detection of true cases, accepting higher false positive rates as preferable to missed diagnoses in a screening context where positive results prompt medical referral rather than definitive diagnosis.</w:t>
      </w:r>
    </w:p>
    <w:p>
      <w:pPr>
        <w:numPr>
          <w:ilvl w:val="0"/>
          <w:numId w:val="1001"/>
        </w:numPr>
      </w:pPr>
      <w:r>
        <w:rPr>
          <w:bCs/>
          <w:b/>
        </w:rPr>
        <w:t xml:space="preserve">Rapid assessment:</w:t>
      </w:r>
      <w:r>
        <w:t xml:space="preserve"> </w:t>
      </w:r>
      <w:r>
        <w:t xml:space="preserve">Total battery completion time targets under 5-10 minutes, enabling practical deployment during sports events or in school settings.</w:t>
      </w:r>
    </w:p>
    <w:bookmarkEnd w:id="22"/>
    <w:bookmarkStart w:id="23" w:name="report-structure"/>
    <w:p>
      <w:pPr>
        <w:pStyle w:val="Heading2"/>
      </w:pPr>
      <w:r>
        <w:t xml:space="preserve">Report Structure</w:t>
      </w:r>
    </w:p>
    <w:p>
      <w:pPr>
        <w:pStyle w:val="FirstParagraph"/>
      </w:pPr>
      <w:r>
        <w:t xml:space="preserve">The remainder of this report is organised as follows: establishes the scientific foundation for oculomotor biomarkers in and reviews existing diagnostic approaches. examines the commercial viability, market opportunity, regulatory pathway, and go-to-market strategy for translating the technology into clinical practice. presents the system architecture and design rationale. details hardware and software implementation. describes validation methodology and results. summarises achievements and discusses future work.</w:t>
      </w:r>
    </w:p>
    <w:bookmarkEnd w:id="23"/>
    <w:bookmarkEnd w:id="24"/>
    <w:bookmarkStart w:id="42" w:name="chapter:background"/>
    <w:p>
      <w:pPr>
        <w:pStyle w:val="Heading1"/>
      </w:pPr>
      <w:r>
        <w:t xml:space="preserve">Technical Background</w:t>
      </w:r>
    </w:p>
    <w:bookmarkStart w:id="25" w:name="mild-traumatic-brain-injury"/>
    <w:p>
      <w:pPr>
        <w:pStyle w:val="Heading2"/>
      </w:pPr>
      <w:r>
        <w:t xml:space="preserve">Mild Traumatic Brain Injury</w:t>
      </w:r>
    </w:p>
    <w:p>
      <w:pPr>
        <w:pStyle w:val="FirstParagraph"/>
      </w:pPr>
      <w:r>
        <w:t xml:space="preserve">Mild traumatic brain injury (), also known as concussion, is clinically defined by the American Congress of Rehabilitation Medicine using three primary criteria: a score of 13-15 assessed 30 minutes post-injury, loss of consciousness lasting less than 30 minutes, and post-traumatic amnesia persisting for less than 24 hours </w:t>
      </w:r>
      <w:r>
        <w:t xml:space="preserve">(Silverberg et al. 2023)</w:t>
      </w:r>
      <w:r>
        <w:t xml:space="preserve">. These criteria distinguish mild from moderate ( 9-12) and severe TBI ( 3-8), though the term "mild" can be misleading, as patients may experience significant disability despite classification as mild.</w:t>
      </w:r>
    </w:p>
    <w:p>
      <w:pPr>
        <w:pStyle w:val="BodyText"/>
      </w:pPr>
      <w:r>
        <w:t xml:space="preserve">The dominant pathological feature of is , describing widespread microscopic damage to axons throughout the brain </w:t>
      </w:r>
      <w:r>
        <w:t xml:space="preserve">(Johnson, Stewart, and Smith 2013)</w:t>
      </w:r>
      <w:r>
        <w:t xml:space="preserve">. Unlike focal contusions visible on conventional imaging, involves disruption of white matter tracts that is typically invisible on CT or standard MRI. The majority of cases show no visible lesions on conventional neuroimaging, creating a "clinical-radiological paradox" wherein patients with normal structural imaging may exhibit significant symptoms and neurocognitive impairments </w:t>
      </w:r>
      <w:r>
        <w:t xml:space="preserve">(Lee et al. 2005; Palacios et al. 2022)</w:t>
      </w:r>
      <w:r>
        <w:t xml:space="preserve">.</w:t>
      </w:r>
    </w:p>
    <w:p>
      <w:pPr>
        <w:pStyle w:val="BodyText"/>
      </w:pPr>
      <w:r>
        <w:t xml:space="preserve">occurs through rapid acceleration-deceleration and rotational forces applied to the brain during impacts. Axonal microtubules are susceptible to mechanical breaking and misalignment when subjected to shear forces. The white matter tracts most commonly affected include the corpus callosum, internal capsule, corona radiata, and cerebellar peduncles, with advanced imaging techniques such as diffusion tensor imaging (DTI) revealing elevated diffusivity and decreased fractional anisotropy in these regions </w:t>
      </w:r>
      <w:r>
        <w:t xml:space="preserve">(Palacios et al. 2022)</w:t>
      </w:r>
      <w:r>
        <w:t xml:space="preserve">.</w:t>
      </w:r>
    </w:p>
    <w:p>
      <w:pPr>
        <w:pStyle w:val="BodyText"/>
      </w:pPr>
      <w:r>
        <w:t xml:space="preserve">Brainstem and midbrain structures demonstrate particular susceptibility to due to their anatomical positioning at the interface between the rigid skull base and mobile cerebral hemispheres. These regions house critical nuclei for autonomic and oculomotor control, including the oculomotor nucleus, Edinger-Westphal nucleus (controlling pupillary constriction), and mesencephalic reticular formation (controlling vergence eye movements). The midbrain’s narrow dimensions and differential sensitivity to rotational loading make it particularly vulnerable, with the corticospinal tract at the midbrain level carrying fibers related to oculomotor function. This vulnerability provides the mechanistic basis for the high prevalence of oculomotor dysfunction as a biomarker of  </w:t>
      </w:r>
      <w:r>
        <w:t xml:space="preserve">(Hirad et al. 2019)</w:t>
      </w:r>
      <w:r>
        <w:t xml:space="preserve">.</w:t>
      </w:r>
    </w:p>
    <w:bookmarkEnd w:id="25"/>
    <w:bookmarkStart w:id="29" w:name="existing-diagnostic-approaches"/>
    <w:p>
      <w:pPr>
        <w:pStyle w:val="Heading2"/>
      </w:pPr>
      <w:r>
        <w:t xml:space="preserve">Existing Diagnostic Approaches</w:t>
      </w:r>
    </w:p>
    <w:p>
      <w:pPr>
        <w:pStyle w:val="FirstParagraph"/>
      </w:pPr>
      <w:r>
        <w:t xml:space="preserve">When an individual presents to medical care following head injury, clinicians employ a multi-modal diagnostic approach combining clinical assessment, neuroimaging, and specialised testing. Understanding this clinical pathway establishes the context for point-of-injury screening tools: not as replacements for clinical diagnosis, but as accessible triage mechanisms to identify individuals requiring medical evaluation.</w:t>
      </w:r>
    </w:p>
    <w:bookmarkStart w:id="26" w:name="clinical-diagnosis-and-neuroimaging"/>
    <w:p>
      <w:pPr>
        <w:pStyle w:val="Heading3"/>
      </w:pPr>
      <w:r>
        <w:t xml:space="preserve">Clinical Diagnosis and Neuroimaging</w:t>
      </w:r>
    </w:p>
    <w:p>
      <w:pPr>
        <w:pStyle w:val="FirstParagraph"/>
      </w:pPr>
      <w:r>
        <w:t xml:space="preserve">Mild traumatic brain injury remains fundamentally a clinical diagnosis. The 2023 American Congress of Rehabilitation Medicine diagnostic criteria require a plausible mechanism of injury plus evidence of acute brain dysfunction within 72 hours, including loss of consciousness, post-traumatic amnesia, disorientation, transient neurological abnormalities, or score of 13-15 </w:t>
      </w:r>
      <w:r>
        <w:t xml:space="preserve">(Silverberg et al. 2023)</w:t>
      </w:r>
      <w:r>
        <w:t xml:space="preserve">. However, the clinical-radiological paradox presents a fundamental challenge: the majority of patients demonstrate normal findings on conventional neuroimaging despite experiencing significant symptoms and neurocognitive impairments </w:t>
      </w:r>
      <w:r>
        <w:t xml:space="preserve">(Lee et al. 2005; Palacios et al. 2022)</w:t>
      </w:r>
      <w:r>
        <w:t xml:space="preserve">.</w:t>
      </w:r>
    </w:p>
    <w:p>
      <w:pPr>
        <w:pStyle w:val="BodyText"/>
      </w:pPr>
      <w:r>
        <w:t xml:space="preserve">CT scanning represents first-line imaging in emergency settings, providing rapid identification of life-threatening pathology requiring neurosurgical intervention </w:t>
      </w:r>
      <w:r>
        <w:t xml:space="preserve">(Stiell et al. 2001; Haydel et al. 2000)</w:t>
      </w:r>
      <w:r>
        <w:t xml:space="preserve">. However, the majority of patients present with negative CT scans, as microscopic white matter disruption produces no visible density changes </w:t>
      </w:r>
      <w:r>
        <w:t xml:space="preserve">(Lee et al. 2005)</w:t>
      </w:r>
      <w:r>
        <w:t xml:space="preserve">. MRI demonstrates higher sensitivity, with approximately 28% of CT-negative patients showing abnormalities including microhemorrhages and contusions </w:t>
      </w:r>
      <w:r>
        <w:t xml:space="preserve">(Yuh et al. 2013)</w:t>
      </w:r>
      <w:r>
        <w:t xml:space="preserve">, yet most cases remain invisible even on MRI. Advanced diffusion tensor imaging can detect white matter microstructural changes </w:t>
      </w:r>
      <w:r>
        <w:t xml:space="preserve">(Palacios et al. 2022)</w:t>
      </w:r>
      <w:r>
        <w:t xml:space="preserve">, but remains predominantly a research tool with limited clinical availability. This imaging insensitivity underscores the need for functional biomarkers capable of detecting physiological disruption in structurally normal-appearing brains.</w:t>
      </w:r>
    </w:p>
    <w:bookmarkEnd w:id="26"/>
    <w:bookmarkStart w:id="27" w:name="Xb65f2068b94c3ee32036aa17a80b1bca3e837f1"/>
    <w:p>
      <w:pPr>
        <w:pStyle w:val="Heading3"/>
      </w:pPr>
      <w:r>
        <w:t xml:space="preserve">Clinical Assessment Batteries and Emerging Biomarkers</w:t>
      </w:r>
    </w:p>
    <w:p>
      <w:pPr>
        <w:pStyle w:val="FirstParagraph"/>
      </w:pPr>
      <w:r>
        <w:t xml:space="preserve">Standardised clinical assessment tools provide structured evaluation of symptoms, cognition, and balance. The combines symptom inventories, cognitive screening, neurological examination, and balance testing for healthcare professionals, while the Concussion Recognition Tool 6 offers simplified observational screening for non-medical personnel </w:t>
      </w:r>
      <w:r>
        <w:t xml:space="preserve">(Echemendia, Brett, et al. 2023; Echemendia, Ahmed, et al. 2023)</w:t>
      </w:r>
      <w:r>
        <w:t xml:space="preserve">. However, systematic reviews of concussion assessment tools demonstrate highly variable diagnostic performance, with sensitivity ranging from 13-92% across different components </w:t>
      </w:r>
      <w:r>
        <w:t xml:space="preserve">(Nelson, Janecek, and McCrea 2013)</w:t>
      </w:r>
      <w:r>
        <w:t xml:space="preserve">. These tools suffer from fundamental limitations: subjective symptom reporting vulnerable to minimisation, effort-dependent cognitive testing, and balance assessments affected by baseline athletic ability </w:t>
      </w:r>
      <w:r>
        <w:t xml:space="preserve">(Meier et al. 2015; Olson et al. 2016)</w:t>
      </w:r>
      <w:r>
        <w:t xml:space="preserve">.</w:t>
      </w:r>
    </w:p>
    <w:p>
      <w:pPr>
        <w:pStyle w:val="BodyText"/>
      </w:pPr>
      <w:r>
        <w:t xml:space="preserve">Emerging objective biomarkers include blood-based tests and quantitative pupillometry. The FDA-cleared combination of GFAP and UCH-L1 serum biomarkers demonstrated 97.5% sensitivity but only approximately 40% specificity for predicting CT abnormalities, serving a triage function to reduce unnecessary imaging </w:t>
      </w:r>
      <w:r>
        <w:t xml:space="preserve">(U.S. Food and Drug Administration 2018; Bazarian et al. 2018)</w:t>
      </w:r>
      <w:r>
        <w:t xml:space="preserve">. However, blood biomarkers require venipuncture and laboratory infrastructure. Commercial quantitative pupillometry devices provide automated measurement of pupillary responses </w:t>
      </w:r>
      <w:r>
        <w:t xml:space="preserve">(Boulter et al. 2021)</w:t>
      </w:r>
      <w:r>
        <w:t xml:space="preserve">, but cost thousands of pounds, require medical facility deployment, and assess only single-parameter function rather than multi-modal oculomotor performance.</w:t>
      </w:r>
    </w:p>
    <w:bookmarkEnd w:id="27"/>
    <w:bookmarkStart w:id="28" w:name="synthesis-the-screening-gap"/>
    <w:p>
      <w:pPr>
        <w:pStyle w:val="Heading3"/>
      </w:pPr>
      <w:r>
        <w:t xml:space="preserve">Synthesis: The Screening Gap</w:t>
      </w:r>
    </w:p>
    <w:p>
      <w:pPr>
        <w:pStyle w:val="FirstParagraph"/>
      </w:pPr>
      <w:r>
        <w:t xml:space="preserve">Clinical diagnostic pathways function effectively once patients enter medical evaluation, integrating clinical assessment, selective neuroimaging, and specialised testing. However, a critical gap exists before this pathway begins: in non-medical settings where most head injuries occur, no objective screening tool helps first responders determine which individuals require medical evaluation. Conventional imaging and blood biomarkers require medical infrastructure, while clinical assessment tools depend on medical training or provide only basic observational guidance without quantitative metrics. Objective physiological biomarkers that can detect functional disruption in imaging-negative cases represent a promising approach. Multi-parameter oculomotor screening could provide the accessible, objective triage tool needed for point-of-injury decision-making, functioning complementary to, not in replacement of, clinical diagnostic pathways.</w:t>
      </w:r>
    </w:p>
    <w:bookmarkEnd w:id="28"/>
    <w:bookmarkEnd w:id="29"/>
    <w:bookmarkStart w:id="40" w:name="oculomotor-biomarkers"/>
    <w:p>
      <w:pPr>
        <w:pStyle w:val="Heading2"/>
      </w:pPr>
      <w:r>
        <w:t xml:space="preserve">Oculomotor Biomarkers</w:t>
      </w:r>
    </w:p>
    <w:p>
      <w:pPr>
        <w:pStyle w:val="FirstParagraph"/>
      </w:pPr>
      <w:r>
        <w:t xml:space="preserve">Oculomotor dysfunction represents a hallmark feature of , with prevalence rates of 65-90% across multiple studies </w:t>
      </w:r>
      <w:r>
        <w:t xml:space="preserve">(McDonald, Holdsworth, and Danesh-Meyer 2022)</w:t>
      </w:r>
      <w:r>
        <w:t xml:space="preserve">. This high prevalence reflects the vulnerability of oculomotor control networks to diffuse axonal injury. The distributed neuroanatomical architecture underlying eye movements, spanning from cortex through brainstem to cerebellum, creates multiple points of potential disruption following traumatic injury.</w:t>
      </w:r>
    </w:p>
    <w:p>
      <w:pPr>
        <w:pStyle w:val="BodyText"/>
      </w:pPr>
      <w:r>
        <w:t xml:space="preserve">Oculomotor biomarkers offer several advantages over conventional symptom-based approaches. First, oculomotor responses are largely involuntary and autonomic, providing objective measurement independent of patient effort or malingering. Second, oculomotor parameters are quantifiable as continuous metrics amenable to statistical analysis and machine learning. Third, oculomotor testing provides rapid assessment capability (3-4 seconds for pupillary testing, 20-30 seconds for smooth pursuit). Finally, recent technological advances have made oculomotor assessment accessible via smartphone cameras </w:t>
      </w:r>
      <w:r>
        <w:t xml:space="preserve">(Maxin et al. 2024)</w:t>
      </w:r>
      <w:r>
        <w:t xml:space="preserve">.</w:t>
      </w:r>
    </w:p>
    <w:bookmarkStart w:id="32" w:name="pupillary-light-reflex"/>
    <w:p>
      <w:pPr>
        <w:pStyle w:val="Heading3"/>
      </w:pPr>
      <w:r>
        <w:t xml:space="preserve">Pupillary Light Reflex</w:t>
      </w:r>
    </w:p>
    <w:bookmarkStart w:id="30" w:name="mechanism-and-pathophysiology"/>
    <w:p>
      <w:pPr>
        <w:pStyle w:val="Heading4"/>
      </w:pPr>
      <w:r>
        <w:t xml:space="preserve">Mechanism and Pathophysiology</w:t>
      </w:r>
    </w:p>
    <w:p>
      <w:pPr>
        <w:pStyle w:val="FirstParagraph"/>
      </w:pPr>
      <w:r>
        <w:t xml:space="preserve">The pupillary light reflex () involves coordinated parasympathetic and sympathetic pathways that regulate pupil diameter in response to changing light conditions. The pathway traverses from retinal photoreceptors through the optic nerve to the pretectal nucleus, then bilaterally to both Edinger-Westphal nuclei in the dorsolateral midbrain. Efferent fibres travel via cranial nerve III to the ciliary ganglion and ultimately innervate the pupil sphincter muscle, producing constriction </w:t>
      </w:r>
      <w:r>
        <w:t xml:space="preserve">(Ciuffreda, Joshi, and Truong 2017)</w:t>
      </w:r>
      <w:r>
        <w:t xml:space="preserve">.</w:t>
      </w:r>
    </w:p>
    <w:p>
      <w:pPr>
        <w:pStyle w:val="BodyText"/>
      </w:pPr>
      <w:r>
        <w:t xml:space="preserve">The extensive anatomical distribution of pathways creates multiple points of vulnerability to traumatic injury. Diffuse axonal injury affects brainstem structures, particularly the dorsolateral midbrain and upper pons, regions containing the Edinger-Westphal nucleus and sympathetic descending pathways. Shearing forces during head acceleration can disrupt these structures, resulting in altered pupillary dynamics </w:t>
      </w:r>
      <w:r>
        <w:t xml:space="preserve">(Bruggeman et al. 2020)</w:t>
      </w:r>
      <w:r>
        <w:t xml:space="preserve">.</w:t>
      </w:r>
    </w:p>
    <w:bookmarkEnd w:id="30"/>
    <w:bookmarkStart w:id="31" w:name="research-evidence"/>
    <w:p>
      <w:pPr>
        <w:pStyle w:val="Heading4"/>
      </w:pPr>
      <w:r>
        <w:t xml:space="preserve">Research Evidence</w:t>
      </w:r>
    </w:p>
    <w:p>
      <w:pPr>
        <w:pStyle w:val="FirstParagraph"/>
      </w:pPr>
      <w:r>
        <w:t xml:space="preserve">Master and colleagues conducted a landmark study examining metrics in 98 adolescent athletes with sport-related concussion compared to 134 healthy controls. Using quantitative pupillometry at a median of 12 days post-injury, they found that eight of nine parameters differed significantly between groups. Concussed athletes demonstrated larger maximum pupil diameter (4.83 mm vs 4.01 mm), faster peak constriction velocity (4.88 mm/s vs 3.91 mm/s), and prolonged recovery time. Maximum pupil diameter and peak constriction velocity achieved values of 0.78 for discrimination </w:t>
      </w:r>
      <w:r>
        <w:t xml:space="preserve">(Master et al. 2020)</w:t>
      </w:r>
      <w:r>
        <w:t xml:space="preserve">.</w:t>
      </w:r>
    </w:p>
    <w:p>
      <w:pPr>
        <w:pStyle w:val="BodyText"/>
      </w:pPr>
      <w:r>
        <w:t xml:space="preserve">Ciuffreda and colleagues found that 5-8 of 9 parameters showed statistical differences between and control groups for any given test condition. The most diagnostically useful parameters included constriction latency (194-214 ms in vs 182-199 ms in controls), baseline diameter, response amplitude, and recovery times </w:t>
      </w:r>
      <w:r>
        <w:t xml:space="preserve">(Ciuffreda, Joshi, and Truong 2017)</w:t>
      </w:r>
      <w:r>
        <w:t xml:space="preserve">.</w:t>
      </w:r>
    </w:p>
    <w:p>
      <w:pPr>
        <w:pStyle w:val="BodyText"/>
      </w:pPr>
      <w:r>
        <w:t xml:space="preserve">Recent advances in smartphone-based pupillometry with machine learning have demonstrated diagnostic accuracy approaching specialised medical devices. A study of 93 Division I football players achieved 91% overall accuracy, 98% sensitivity, and 84.2% specificity with of 0.91 using seven parameters analysed with machine learning models </w:t>
      </w:r>
      <w:r>
        <w:t xml:space="preserve">(Maxin et al. 2024)</w:t>
      </w:r>
      <w:r>
        <w:t xml:space="preserve">. These results demonstrate the feasibility of accessible, smartphone-based screening with research-grade diagnostic performance.</w:t>
      </w:r>
    </w:p>
    <w:bookmarkEnd w:id="31"/>
    <w:bookmarkEnd w:id="32"/>
    <w:bookmarkStart w:id="35" w:name="smooth-pursuit-eye-movements"/>
    <w:p>
      <w:pPr>
        <w:pStyle w:val="Heading3"/>
      </w:pPr>
      <w:r>
        <w:t xml:space="preserve">Smooth Pursuit Eye Movements</w:t>
      </w:r>
    </w:p>
    <w:bookmarkStart w:id="33" w:name="mechanism-and-pathophysiology-1"/>
    <w:p>
      <w:pPr>
        <w:pStyle w:val="Heading4"/>
      </w:pPr>
      <w:r>
        <w:t xml:space="preserve">Mechanism and Pathophysiology</w:t>
      </w:r>
    </w:p>
    <w:p>
      <w:pPr>
        <w:pStyle w:val="FirstParagraph"/>
      </w:pPr>
      <w:r>
        <w:t xml:space="preserve">Smooth pursuit eye movements maintain visual fixation on moving targets by matching eye velocity to target velocity. Smooth pursuit involves a distributed neural network spanning cortical areas (visual motion processing in area MT/V5, motor planning in frontal eye fields), pontine nuclei serving as relay stations, and cerebellar structures (flocculus and paraflocculus) that generate appropriate motor commands. Cerebellar output projects to the medial vestibular nucleus, which drives extraocular motor neurons controlling eye movement execution </w:t>
      </w:r>
      <w:r>
        <w:t xml:space="preserve">(McDonald, Holdsworth, and Danesh-Meyer 2022)</w:t>
      </w:r>
      <w:r>
        <w:t xml:space="preserve">.</w:t>
      </w:r>
    </w:p>
    <w:p>
      <w:pPr>
        <w:pStyle w:val="BodyText"/>
      </w:pPr>
      <w:r>
        <w:t xml:space="preserve">This extensive pathway traverses multiple white matter tracts susceptible to , including the corona radiata, internal capsule, pontocerebellar pathways, and cerebellar peduncles. Diffusion tensor imaging studies provide direct evidence of structural damage to smooth pursuit pathways: one study found that 89% of post-concussion athletes showed abnormal axial diffusivity in at least one white matter tract, with 61% showing abnormalities specifically in the middle cerebellar peduncle carrying corticopontocerebellar fibres essential for smooth pursuit </w:t>
      </w:r>
      <w:r>
        <w:t xml:space="preserve">(Mallott et al. 2019)</w:t>
      </w:r>
      <w:r>
        <w:t xml:space="preserve">.</w:t>
      </w:r>
    </w:p>
    <w:bookmarkEnd w:id="33"/>
    <w:bookmarkStart w:id="34" w:name="research-evidence-1"/>
    <w:p>
      <w:pPr>
        <w:pStyle w:val="Heading4"/>
      </w:pPr>
      <w:r>
        <w:t xml:space="preserve">Research Evidence</w:t>
      </w:r>
    </w:p>
    <w:p>
      <w:pPr>
        <w:pStyle w:val="FirstParagraph"/>
      </w:pPr>
      <w:r>
        <w:t xml:space="preserve">Within 24-48 hours post-concussion, Division I athletes demonstrated significantly reduced smooth pursuit velocity (14.24±2.31 degrees/second vs 17.86±5.75 degrees/second in controls, p=0.019, Cohen’s d=0.83), with increased saccadic amplitude and velocity to compensate for reduced pursuit. These large effect sizes demonstrate clinically meaningful impairment </w:t>
      </w:r>
      <w:r>
        <w:t xml:space="preserve">(Murray, Hunfalvay, and Bolte 2019)</w:t>
      </w:r>
      <w:r>
        <w:t xml:space="preserve">.</w:t>
      </w:r>
    </w:p>
    <w:p>
      <w:pPr>
        <w:pStyle w:val="BodyText"/>
      </w:pPr>
      <w:r>
        <w:t xml:space="preserve">An important enhancement to smooth pursuit assessment involves dual-task paradigms combining eye tracking with concurrent cognitive load. Studies using concurrent working memory tasks (n-back paradigms) have shown substantial improvements in diagnostic discrimination. Baseline smooth pursuit identified 58% of patients, but adding a concurrent 2-back working memory task increased identification to 79%. The for radial variability increased from 0.88 at baseline to 0.946 with cognitive load, achieving excellent discrimination </w:t>
      </w:r>
      <w:r>
        <w:t xml:space="preserve">(Stubbs et al. 2018)</w:t>
      </w:r>
      <w:r>
        <w:t xml:space="preserve">.</w:t>
      </w:r>
    </w:p>
    <w:p>
      <w:pPr>
        <w:pStyle w:val="BodyText"/>
      </w:pPr>
      <w:r>
        <w:t xml:space="preserve">Smooth pursuit within 7 days of injury shows robust discriminative ability, establishing it as a valuable component of multi-modal assessment </w:t>
      </w:r>
      <w:r>
        <w:t xml:space="preserve">(Hunfalvay et al. 2021)</w:t>
      </w:r>
      <w:r>
        <w:t xml:space="preserve">.</w:t>
      </w:r>
    </w:p>
    <w:bookmarkEnd w:id="34"/>
    <w:bookmarkEnd w:id="35"/>
    <w:bookmarkStart w:id="38" w:name="vergence-and-near-point-of-convergence"/>
    <w:p>
      <w:pPr>
        <w:pStyle w:val="Heading3"/>
      </w:pPr>
      <w:r>
        <w:t xml:space="preserve">Vergence and Near Point of Convergence</w:t>
      </w:r>
    </w:p>
    <w:bookmarkStart w:id="36" w:name="mechanism-and-pathophysiology-2"/>
    <w:p>
      <w:pPr>
        <w:pStyle w:val="Heading4"/>
      </w:pPr>
      <w:r>
        <w:t xml:space="preserve">Mechanism and Pathophysiology</w:t>
      </w:r>
    </w:p>
    <w:p>
      <w:pPr>
        <w:pStyle w:val="FirstParagraph"/>
      </w:pPr>
      <w:r>
        <w:t xml:space="preserve">Vergence eye movements enable binocular vision by coordinating the eyes to converge (move inward) or diverge (move outward) when shifting gaze between near and far targets. Vergence control involves the mesencephalic reticular formation (MRF) located dorsolateral to the oculomotor nucleus, which contains vergence premotor neurons that encode vergence angle and velocity. These neurons project directly to medial rectus motoneurons in the oculomotor nucleus. Cerebellar structures, particularly the caudal fastigial nucleus, also contribute to vergence control </w:t>
      </w:r>
      <w:r>
        <w:t xml:space="preserve">(Searle and Rowe 2016)</w:t>
      </w:r>
      <w:r>
        <w:t xml:space="preserve">.</w:t>
      </w:r>
    </w:p>
    <w:p>
      <w:pPr>
        <w:pStyle w:val="BodyText"/>
      </w:pPr>
      <w:r>
        <w:t xml:space="preserve">Vergence dysfunction in reflects disruption across this distributed network. Rotational acceleration generates focal shear stresses at the mesencephalic and pontine levels, affecting vergence control structures. Convergence insufficiency, the inability to adequately converge the eyes for near work, represents one of the most prevalent oculomotor dysfunctions in  </w:t>
      </w:r>
      <w:r>
        <w:t xml:space="preserve">(Yaramothu, Goodman, and Alvarez 2019; Wiecek et al. 2021)</w:t>
      </w:r>
      <w:r>
        <w:t xml:space="preserve">.</w:t>
      </w:r>
    </w:p>
    <w:bookmarkEnd w:id="36"/>
    <w:bookmarkStart w:id="37" w:name="research-evidence-2"/>
    <w:p>
      <w:pPr>
        <w:pStyle w:val="Heading4"/>
      </w:pPr>
      <w:r>
        <w:t xml:space="preserve">Research Evidence</w:t>
      </w:r>
    </w:p>
    <w:p>
      <w:pPr>
        <w:pStyle w:val="FirstParagraph"/>
      </w:pPr>
      <w:r>
        <w:t xml:space="preserve">The dramatic increase in convergence insufficiency prevalence following represents one of the most robust findings in concussion research. Baseline prevalence in the general population ranges from 2-8%. Post-concussion acute prevalence (&lt;1 month) increases to 35-49%, representing an 8-84 fold elevation over baseline. Among athletes with chronic concussion-related symptoms, 89% demonstrate abnormal  </w:t>
      </w:r>
      <w:r>
        <w:t xml:space="preserve">(Mucha et al. 2014; Pearce et al. 2015)</w:t>
      </w:r>
      <w:r>
        <w:t xml:space="preserve">.</w:t>
      </w:r>
    </w:p>
    <w:p>
      <w:pPr>
        <w:pStyle w:val="BodyText"/>
      </w:pPr>
      <w:r>
        <w:t xml:space="preserve">Clinical assessment using measurement shows robust diagnostic utility. In concussed patients, averaged 5.9±7.7 cm compared to 1.9±3.2 cm in controls (mean difference 4.0 cm, p&lt;0.001). Using a clinical threshold of ≥5 cm, identification rate reached 84% with of 0.73. Multivariate models combining with vestibular-ocular reflex testing and visual motion sensitivity achieved of 0.89 (95% CI: 0.84-0.95) </w:t>
      </w:r>
      <w:r>
        <w:t xml:space="preserve">(Mucha et al. 2014)</w:t>
      </w:r>
      <w:r>
        <w:t xml:space="preserve">.</w:t>
      </w:r>
    </w:p>
    <w:p>
      <w:pPr>
        <w:pStyle w:val="BodyText"/>
      </w:pPr>
      <w:r>
        <w:t xml:space="preserve">Convergence insufficiency correlates significantly with neurocognitive deficits, establishing that vergence dysfunction reflects broader cognitive impairment. Concussed athletes with convergence insufficiency demonstrated significantly worse verbal memory, visual motor speed, and reaction time compared to concussed athletes with normal . distance contributed an additional 13.6% variance in reaction time after controlling for age and symptoms (p&lt;0.001) </w:t>
      </w:r>
      <w:r>
        <w:t xml:space="preserve">(Pearce et al. 2015)</w:t>
      </w:r>
      <w:r>
        <w:t xml:space="preserve">.</w:t>
      </w:r>
    </w:p>
    <w:p>
      <w:pPr>
        <w:pStyle w:val="BodyText"/>
      </w:pPr>
      <w:r>
        <w:t xml:space="preserve">Prognostic value has been established in multiple studies. Athletes with convergence insufficiency showed 12.3-fold increased odds of prolonged recovery (≥28 days), with mean recovery time of 51.6±53.9 days versus 19.2±14.7 days in the normal group </w:t>
      </w:r>
      <w:r>
        <w:t xml:space="preserve">(DuPrey et al. 2017)</w:t>
      </w:r>
      <w:r>
        <w:t xml:space="preserve">. In emergency department patients, convergence insufficiency scores significantly predicted post-concussion syndrome development, with a multivariate model achieving strong predictive performance (p&lt;0.0001, R²=36%) </w:t>
      </w:r>
      <w:r>
        <w:t xml:space="preserve">(Devani et al. 2024)</w:t>
      </w:r>
      <w:r>
        <w:t xml:space="preserve">.</w:t>
      </w:r>
    </w:p>
    <w:bookmarkEnd w:id="37"/>
    <w:bookmarkEnd w:id="38"/>
    <w:bookmarkStart w:id="39" w:name="rationale-for-multi-modal-assessment"/>
    <w:p>
      <w:pPr>
        <w:pStyle w:val="Heading3"/>
      </w:pPr>
      <w:r>
        <w:t xml:space="preserve">Rationale for Multi-Modal Assessment</w:t>
      </w:r>
    </w:p>
    <w:p>
      <w:pPr>
        <w:pStyle w:val="FirstParagraph"/>
      </w:pPr>
      <w:r>
        <w:t xml:space="preserve">While each oculomotor biomarker demonstrates diagnostic utility independently, multi-parameter assessment combining PLR, smooth pursuit, and vergence provides superior performance. Different biomarkers may be differentially affected depending on the specific white matter tracts and neural structures damaged in a given patient’s injury. Multi-modal assessment increases sensitivity by detecting abnormality when any single parameter is impaired, while maintaining specificity through algorithms that integrate information across parameters. Video-oculography assessment of combined oculomotor parameters achieved 91% accuracy with 90% sensitivity and 89% specificity, while smartphone-based multi-parameter pupillometry achieved 91% accuracy with 98% sensitivity and 84% specificity </w:t>
      </w:r>
      <w:r>
        <w:t xml:space="preserve">(Kelly et al. 2019; Maxin et al. 2024)</w:t>
      </w:r>
      <w:r>
        <w:t xml:space="preserve">.</w:t>
      </w:r>
    </w:p>
    <w:bookmarkEnd w:id="39"/>
    <w:bookmarkEnd w:id="40"/>
    <w:bookmarkStart w:id="41" w:name="smartphone-implementation-feasibility"/>
    <w:p>
      <w:pPr>
        <w:pStyle w:val="Heading2"/>
      </w:pPr>
      <w:r>
        <w:t xml:space="preserve">Smartphone Implementation Feasibility</w:t>
      </w:r>
    </w:p>
    <w:p>
      <w:pPr>
        <w:pStyle w:val="FirstParagraph"/>
      </w:pPr>
      <w:r>
        <w:t xml:space="preserve">Recent academic research has demonstrated the technical feasibility of smartphone-based pupillometry and oculomotor assessment for , leveraging the high-resolution cameras present in modern consumer devices.</w:t>
      </w:r>
    </w:p>
    <w:p>
      <w:pPr>
        <w:pStyle w:val="BodyText"/>
      </w:pPr>
      <w:r>
        <w:t xml:space="preserve">The most extensively studied smartphone pupillometry platform, PupilScreen, achieved 91% overall accuracy, 98% sensitivity, and 84% specificity with of 0.91 in Division I football players assessed within 24 hours of injury </w:t>
      </w:r>
      <w:r>
        <w:t xml:space="preserve">(Maxin et al. 2024)</w:t>
      </w:r>
      <w:r>
        <w:t xml:space="preserve">. Alternative analysis methods using PLR curve interpretation achieved 93% accuracy, 94% sensitivity, and 92% specificity with balanced positive and negative predictive values. Additional studies employing machine learning on seven parameters achieved 93.5% accuracy, 96.2% sensitivity, 90.9% specificity, and of 0.936 in acute (&lt;36 hours post-injury).</w:t>
      </w:r>
    </w:p>
    <w:p>
      <w:pPr>
        <w:pStyle w:val="BodyText"/>
      </w:pPr>
      <w:r>
        <w:t xml:space="preserve">These results establish that smartphone cameras provide sufficient spatial and temporal resolution for diagnostic-quality pupillometry. Modern smartphones provide front-facing cameras with resolution of 8-12 megapixels and frame rates of 30-60 fps, sufficient for tracking pupil diameter with sub-millimeter precision and measuring constriction velocities. Infrared cameras implemented for facial recognition in some devices offer additional capability for pupillometry with minimal ambient light interference.</w:t>
      </w:r>
    </w:p>
    <w:p>
      <w:pPr>
        <w:pStyle w:val="BodyText"/>
      </w:pPr>
      <w:r>
        <w:t xml:space="preserve">Most published research has focused primarily on pupillary light reflex alone, not implementing the multi-parameter oculomotor assessment (PLR, smooth pursuit, vergence) that clinical evidence suggests provides optimal diagnostic performance </w:t>
      </w:r>
      <w:r>
        <w:t xml:space="preserve">(McDonald, Holdsworth, and Danesh-Meyer 2022)</w:t>
      </w:r>
      <w:r>
        <w:t xml:space="preserve">. Furthermore, translation from research validation to systems accessible for untrained users at the point of injury requires additional development in user interface design, automated analysis algorithms, and validation for lay-user operation.</w:t>
      </w:r>
    </w:p>
    <w:p>
      <w:pPr>
        <w:pStyle w:val="BodyText"/>
      </w:pPr>
      <w:r>
        <w:t xml:space="preserve">Smartphone-based multi-parameter oculomotor assessment addresses the unmet need identified in Section 2.2: providing accessible, objective, quantitative screening for untrained users at the point of injury. By combining research-validated biomarkers with ubiquitous smartphone hardware, automated analysis algorithms, and a user interface designed for non-experts, such a system could enable objective screening in precisely the contexts where it is most needed.</w:t>
      </w:r>
    </w:p>
    <w:bookmarkEnd w:id="41"/>
    <w:bookmarkEnd w:id="42"/>
    <w:bookmarkStart w:id="73" w:name="chapter:commercialisation"/>
    <w:p>
      <w:pPr>
        <w:pStyle w:val="Heading1"/>
      </w:pPr>
      <w:r>
        <w:t xml:space="preserve">Commercialisation and Market Assessment</w:t>
      </w:r>
    </w:p>
    <w:bookmarkStart w:id="46" w:name="market-opportunity-and-landscape"/>
    <w:p>
      <w:pPr>
        <w:pStyle w:val="Heading2"/>
      </w:pPr>
      <w:r>
        <w:t xml:space="preserve">Market Opportunity and Landscape</w:t>
      </w:r>
    </w:p>
    <w:p>
      <w:pPr>
        <w:pStyle w:val="FirstParagraph"/>
      </w:pPr>
      <w:r>
        <w:rPr>
          <w:bCs/>
          <w:b/>
        </w:rPr>
        <w:t xml:space="preserve">Youth and Amateur Sport Underdiagnosis</w:t>
      </w:r>
    </w:p>
    <w:p>
      <w:pPr>
        <w:pStyle w:val="BodyText"/>
      </w:pPr>
      <w:r>
        <w:t xml:space="preserve">In youth and amateur sport, the data make the problem really obvious. In one study of 328 athletes, only 8.56% said they’d actually had a concussion diagnosed in the previous season — but almost half of them kept playing while they were having post-impact concussion symptoms. That’s a huge gap between symptoms and diagnosis, and it strongly suggests a cultural/sporting incentive to avoid formal diagnosis because a confirmed concussion usually means a mandatory rest period (often  2 weeks), which coaches don’t want to trigger.</w:t>
      </w:r>
      <w:r>
        <w:rPr>
          <w:rStyle w:val="FootnoteReference"/>
        </w:rPr>
        <w:footnoteReference w:id="43"/>
      </w:r>
    </w:p>
    <w:p>
      <w:pPr>
        <w:pStyle w:val="BodyText"/>
      </w:pPr>
      <w:r>
        <w:t xml:space="preserve">That lines up with UK evidence: the UK Parliamentary inquiry on concussion in sport notes that over 50% of concussions outside the elite game go unreported or undiagnosed, meaning the undercount isn’t because people aren’t getting hit — it’s because the system isn’t set up to catch it, especially when nobody on the touchline is medically trained.</w:t>
      </w:r>
      <w:r>
        <w:rPr>
          <w:rStyle w:val="FootnoteReference"/>
        </w:rPr>
        <w:footnoteReference w:id="44"/>
      </w:r>
    </w:p>
    <w:p>
      <w:pPr>
        <w:pStyle w:val="BodyText"/>
      </w:pPr>
      <w:r>
        <w:t xml:space="preserve">At the same time, the highest injury burden is actually in kids: in Oxfordshire, children aged 0–19 make up 47.4% of all sports-injury A&amp;E attendances, with the peak at 14 for boys and 12 for girls.</w:t>
      </w:r>
      <w:r>
        <w:rPr>
          <w:rStyle w:val="FootnoteReference"/>
        </w:rPr>
        <w:footnoteReference w:id="45"/>
      </w:r>
      <w:r>
        <w:t xml:space="preserve"> </w:t>
      </w:r>
      <w:r>
        <w:t xml:space="preserve">So the level of sport that has the most injuries is also the level that has the least medical cover and the strongest incentive not to diagnose.</w:t>
      </w:r>
    </w:p>
    <w:p>
      <w:pPr>
        <w:pStyle w:val="BodyText"/>
      </w:pPr>
      <w:r>
        <w:t xml:space="preserve">And commercially, this sits in a market that’s already spending money on safety: the global sports-protective equipment market is about $9.4B (2023) and growing 5–6% CAGR, according to Grand View Research and Global Market Insights — so there’s room for a youth-level, parent-oriented, low-cost concussion screening device.</w:t>
      </w:r>
    </w:p>
    <w:bookmarkEnd w:id="46"/>
    <w:bookmarkStart w:id="64" w:name="competitor-analysis"/>
    <w:p>
      <w:pPr>
        <w:pStyle w:val="Heading2"/>
      </w:pPr>
      <w:r>
        <w:t xml:space="preserve">Competitor Analysis</w:t>
      </w:r>
    </w:p>
    <w:bookmarkStart w:id="48" w:name="braineye-afl-2025"/>
    <w:p>
      <w:pPr>
        <w:pStyle w:val="Heading3"/>
      </w:pPr>
      <w:r>
        <w:t xml:space="preserve">BrainEye (AFL, 2025)</w:t>
      </w:r>
    </w:p>
    <w:p>
      <w:pPr>
        <w:pStyle w:val="FirstParagraph"/>
      </w:pPr>
      <w:r>
        <w:t xml:space="preserve">BrainEye is a smartphone-based eye-tracking system tested on 348 Australian Rules footballers across 10 clubs; it runs pupillary light reflex, smooth pursuit, near-point convergence and horizontal gaze nystagmus, and when PLR and pursuit are combined it reached 100% sensitivity and 85% specificity for clinically diagnosed concussion — but teams said the hardware set-up was a bit fussy, so a simpler, parent-operated version would be easier to adopt.</w:t>
      </w:r>
      <w:r>
        <w:rPr>
          <w:rStyle w:val="FootnoteReference"/>
        </w:rPr>
        <w:footnoteReference w:id="47"/>
      </w:r>
    </w:p>
    <w:bookmarkEnd w:id="48"/>
    <w:bookmarkStart w:id="51" w:name="reflex-brightlamp"/>
    <w:p>
      <w:pPr>
        <w:pStyle w:val="Heading3"/>
      </w:pPr>
      <w:r>
        <w:t xml:space="preserve">Reflex (BrightLamp)</w:t>
      </w:r>
    </w:p>
    <w:p>
      <w:pPr>
        <w:pStyle w:val="FirstParagraph"/>
      </w:pPr>
      <w:r>
        <w:t xml:space="preserve">Reflex turns an iPhone/iPad into a mobile pupillometer that records PLR metrics (latency, % constriction, dilation) in a few seconds and has been used in concussion and autonomic screening, but it is marketed mainly to clinics and providers rather than to grassroots parents standing on a pitch.</w:t>
      </w:r>
      <w:r>
        <w:rPr>
          <w:rStyle w:val="FootnoteReference"/>
        </w:rPr>
        <w:footnoteReference w:id="49"/>
      </w:r>
    </w:p>
    <w:bookmarkEnd w:id="51"/>
    <w:bookmarkStart w:id="52" w:name="pupilscreen-university-of-washington"/>
    <w:p>
      <w:pPr>
        <w:pStyle w:val="Heading3"/>
      </w:pPr>
      <w:r>
        <w:t xml:space="preserve">PupilScreen (University of Washington)</w:t>
      </w:r>
    </w:p>
    <w:p>
      <w:pPr>
        <w:pStyle w:val="FirstParagraph"/>
      </w:pPr>
      <w:r>
        <w:t xml:space="preserve">PupilScreen is a research prototype that shows a normal phone camera and flash, plus ML, can quantify the pupillary light reflex well enough to help with sideline concussion decisions, but it is not a product with a finished workflow for schools or community clubs.</w:t>
      </w:r>
    </w:p>
    <w:bookmarkEnd w:id="52"/>
    <w:bookmarkStart w:id="55" w:name="syncthink-neurosync-eye-sync"/>
    <w:p>
      <w:pPr>
        <w:pStyle w:val="Heading3"/>
      </w:pPr>
      <w:r>
        <w:t xml:space="preserve">SyncThink / NeuroSync (EYE-SYNC)</w:t>
      </w:r>
    </w:p>
    <w:p>
      <w:pPr>
        <w:pStyle w:val="FirstParagraph"/>
      </w:pPr>
      <w:r>
        <w:t xml:space="preserve">SyncThink is an FDA-cleared, VR-style IR eye-tracking system used by pro/college teams and clinicians to assess oculomotor and vestibulo-ocular function after suspected mTBI, proving the biomarker is valid, but it is too expensive and too clinical to hand to a parent or PE teacher.</w:t>
      </w:r>
      <w:r>
        <w:rPr>
          <w:rStyle w:val="FootnoteReference"/>
        </w:rPr>
        <w:footnoteReference w:id="53"/>
      </w:r>
    </w:p>
    <w:bookmarkEnd w:id="55"/>
    <w:bookmarkStart w:id="58" w:name="oculogica-eyebox"/>
    <w:p>
      <w:pPr>
        <w:pStyle w:val="Heading3"/>
      </w:pPr>
      <w:r>
        <w:t xml:space="preserve">Oculogica EyeBOX</w:t>
      </w:r>
    </w:p>
    <w:p>
      <w:pPr>
        <w:pStyle w:val="FirstParagraph"/>
      </w:pPr>
      <w:r>
        <w:t xml:space="preserve">EyeBOX is an FDA-cleared, 4-minute, eye-movement–based aid to concussion diagnosis for patients aged 5–67, sold into hospitals and specialist centres; it shows regulators accept eye tracking for concussion, but the cost and setting make it unsuitable for a</w:t>
      </w:r>
      <w:r>
        <w:t xml:space="preserve"> </w:t>
      </w:r>
      <w:r>
        <w:t xml:space="preserve">“</w:t>
      </w:r>
      <w:r>
        <w:t xml:space="preserve">one device per school</w:t>
      </w:r>
      <w:r>
        <w:t xml:space="preserve">”</w:t>
      </w:r>
      <w:r>
        <w:t xml:space="preserve"> </w:t>
      </w:r>
      <w:r>
        <w:t xml:space="preserve">model.</w:t>
      </w:r>
      <w:r>
        <w:rPr>
          <w:rStyle w:val="FootnoteReference"/>
        </w:rPr>
        <w:footnoteReference w:id="56"/>
      </w:r>
    </w:p>
    <w:bookmarkEnd w:id="58"/>
    <w:bookmarkStart w:id="60" w:name="X5cc230616865aec10fed7dc52a40d90f8286035"/>
    <w:p>
      <w:pPr>
        <w:pStyle w:val="Heading3"/>
      </w:pPr>
      <w:r>
        <w:t xml:space="preserve">Prevent Biometrics / Smart Mouthguards (incl. World Rugby pilots)</w:t>
      </w:r>
    </w:p>
    <w:p>
      <w:pPr>
        <w:pStyle w:val="FirstParagraph"/>
      </w:pPr>
      <w:r>
        <w:t xml:space="preserve">Instrumented mouthguards measure head linear and rotational acceleration at the instant of impact and are being rolled out in elite rugby and American football, but they need one device per athlete and they detect the hit, not whether the player’s brain/eyes are actually impaired.</w:t>
      </w:r>
      <w:r>
        <w:rPr>
          <w:rStyle w:val="FootnoteReference"/>
        </w:rPr>
        <w:footnoteReference w:id="59"/>
      </w:r>
    </w:p>
    <w:bookmarkEnd w:id="60"/>
    <w:bookmarkStart w:id="63" w:name="headcheck-health-and-other-protocol-apps"/>
    <w:p>
      <w:pPr>
        <w:pStyle w:val="Heading3"/>
      </w:pPr>
      <w:r>
        <w:t xml:space="preserve">HeadCheck Health and Other Protocol Apps</w:t>
      </w:r>
    </w:p>
    <w:p>
      <w:pPr>
        <w:pStyle w:val="FirstParagraph"/>
      </w:pPr>
      <w:r>
        <w:t xml:space="preserve">Products like HeadCheck digitise SCAT and return-to-play procedures and are already used from grassroots to pro levels, showing teams will use structured concussion tools, but they do not measure any physiological signal — someone still has to notice the hit first.</w:t>
      </w:r>
      <w:r>
        <w:rPr>
          <w:rStyle w:val="FootnoteReference"/>
        </w:rPr>
        <w:footnoteReference w:id="61"/>
      </w:r>
    </w:p>
    <w:bookmarkEnd w:id="63"/>
    <w:bookmarkEnd w:id="64"/>
    <w:bookmarkStart w:id="67" w:name="target-users-and-stakeholders"/>
    <w:p>
      <w:pPr>
        <w:pStyle w:val="Heading2"/>
      </w:pPr>
      <w:r>
        <w:t xml:space="preserve">Target Users and Stakeholders</w:t>
      </w:r>
    </w:p>
    <w:p>
      <w:pPr>
        <w:pStyle w:val="FirstParagraph"/>
      </w:pPr>
      <w:r>
        <w:t xml:space="preserve">The main target users are under-18 players and the adults around them, because that is the level of sport where regulation and medical cover are weakest. Think of Saturday-morning grassroots football at the local rec, school rugby on a Wednesday, weekend hockey leagues, and community basketball in a sports hall — most of these sessions have no pitch-side physio, no club doctor, and no obligation to run a full SCAT-style concussion protocol, even though the players are still growing and are more vulnerable to repeat injury. In that environment, the people who actually care enough to run a check are the parents on the touchline, the school PE teacher in charge of the fixture, the safeguarding lead who has to log the incident, and sometimes the team manager or club volunteer who has the phone. Coaches are still stakeholders, but they can have a conflict of interest because a positive concussion screen means the player sits out for one or two weeks. That is why the device is aimed first at parents of grassroots under-18s, school PE/sport departments, and community-club organisers, not at already regulated professional teams.</w:t>
      </w:r>
    </w:p>
    <w:p>
      <w:pPr>
        <w:pStyle w:val="BodyText"/>
      </w:pPr>
      <w:r>
        <w:t xml:space="preserve">Multiple studies show that parents of youth athletes are willing to act on concussion if they are given a clear, simple tool: they report positive attitudes to concussion reporting and management, but they lack confidence in how to do it.</w:t>
      </w:r>
      <w:r>
        <w:rPr>
          <w:rStyle w:val="FootnoteReference"/>
        </w:rPr>
        <w:footnoteReference w:id="65"/>
      </w:r>
      <w:r>
        <w:t xml:space="preserve"> </w:t>
      </w:r>
      <w:r>
        <w:t xml:space="preserve">At the same time, schools are already being told by public-health bodies to remove a player immediately if concussion is suspected and to use recognised concussion resources like CDC HEADS UP, which means there is already an institutional pathway for a quick sideline screening device.</w:t>
      </w:r>
      <w:r>
        <w:rPr>
          <w:rStyle w:val="FootnoteReference"/>
        </w:rPr>
        <w:footnoteReference w:id="66"/>
      </w:r>
      <w:r>
        <w:t xml:space="preserve"> </w:t>
      </w:r>
      <w:r>
        <w:t xml:space="preserve">So if you offer a parent-operated, 30-second eye-tracking check, you are not trying to create demand from nothing — you are giving parents and schools a way to do what policy is already telling them to do, but faster and more objectively.</w:t>
      </w:r>
    </w:p>
    <w:bookmarkEnd w:id="67"/>
    <w:bookmarkStart w:id="68" w:name="business-model-and-value-proposition"/>
    <w:p>
      <w:pPr>
        <w:pStyle w:val="Heading2"/>
      </w:pPr>
      <w:r>
        <w:t xml:space="preserve">Business Model and Value Proposition</w:t>
      </w:r>
    </w:p>
    <w:p>
      <w:pPr>
        <w:pStyle w:val="FirstParagraph"/>
      </w:pPr>
      <w:r>
        <w:t xml:space="preserve">Parents and schools of under-18 athletes need a reliable way to check for concussion when no physio is present and symptoms may be delayed. Our solution is a low-cost, shareable headset plus phone app that runs a 30-second eye test (PLR + tracking) and gives a clear traffic-light result. It turns sideline worry into a standard, repeatable screening step that can be shown to coaches or a GP.</w:t>
      </w:r>
    </w:p>
    <w:p>
      <w:pPr>
        <w:pStyle w:val="BodyText"/>
      </w:pPr>
      <w:r>
        <w:t xml:space="preserve">The business model combines a one-off hardware sale with recurring software revenue. The hardware is a low-cost, shareable headset or phone mount sold to parents, schools, and grassroots clubs on a</w:t>
      </w:r>
      <w:r>
        <w:t xml:space="preserve"> </w:t>
      </w:r>
      <w:r>
        <w:t xml:space="preserve">“</w:t>
      </w:r>
      <w:r>
        <w:t xml:space="preserve">one device per squad/family</w:t>
      </w:r>
      <w:r>
        <w:t xml:space="preserve">”</w:t>
      </w:r>
      <w:r>
        <w:t xml:space="preserve"> </w:t>
      </w:r>
      <w:r>
        <w:t xml:space="preserve">basis, keeping adoption affordable. The accompanying app is free for basic use (single test, traffic-light result) and offers paid features such as multiple child profiles, baseline storage, 24–48-hour retesting prompts, and PDF exports for schools or GPs on a monthly subscription. Schools and clubs can purchase an annual licence that unlocks a central incident log and standardised return-to-play workflow for all teams. This structure aligns payment with the parties that actually care about detection (parents and schools) while keeping the per-player cost low.</w:t>
      </w:r>
    </w:p>
    <w:bookmarkEnd w:id="68"/>
    <w:bookmarkStart w:id="70" w:name="regulatory-considerations"/>
    <w:p>
      <w:pPr>
        <w:pStyle w:val="Heading2"/>
      </w:pPr>
      <w:r>
        <w:t xml:space="preserve">Regulatory Considerations</w:t>
      </w:r>
    </w:p>
    <w:p>
      <w:pPr>
        <w:pStyle w:val="FirstParagraph"/>
      </w:pPr>
      <w:r>
        <w:t xml:space="preserve">As the intended use is to support decisions about removing an under-18 player from sport following a head impact, the system will be regarded as medical device software under UK MHRA guidance and EU MDR Rule 11, and would therefore require UKCA/CE marking before commercial deployment. For the purposes of the 3YP, the system will be used as a research screening tool with explicit non-diagnostic labelling. Post-project work would include formal clinical evaluation and conformity assessment.</w:t>
      </w:r>
      <w:r>
        <w:rPr>
          <w:rStyle w:val="FootnoteReference"/>
        </w:rPr>
        <w:footnoteReference w:id="69"/>
      </w:r>
    </w:p>
    <w:bookmarkEnd w:id="70"/>
    <w:bookmarkStart w:id="71" w:name="go-to-market-strategy"/>
    <w:p>
      <w:pPr>
        <w:pStyle w:val="Heading2"/>
      </w:pPr>
      <w:r>
        <w:t xml:space="preserve">Go-to-Market Strategy</w:t>
      </w:r>
    </w:p>
    <w:bookmarkEnd w:id="71"/>
    <w:bookmarkStart w:id="72" w:name="financial-viability"/>
    <w:p>
      <w:pPr>
        <w:pStyle w:val="Heading2"/>
      </w:pPr>
      <w:r>
        <w:t xml:space="preserve">Financial Viability</w:t>
      </w:r>
    </w:p>
    <w:bookmarkEnd w:id="72"/>
    <w:bookmarkEnd w:id="73"/>
    <w:bookmarkStart w:id="82" w:name="chapter:design"/>
    <w:p>
      <w:pPr>
        <w:pStyle w:val="Heading1"/>
      </w:pPr>
      <w:r>
        <w:t xml:space="preserve">System Design</w:t>
      </w:r>
    </w:p>
    <w:bookmarkStart w:id="74" w:name="system-overview"/>
    <w:p>
      <w:pPr>
        <w:pStyle w:val="Heading2"/>
      </w:pPr>
      <w:r>
        <w:t xml:space="preserve">System Overview</w:t>
      </w:r>
    </w:p>
    <w:bookmarkEnd w:id="74"/>
    <w:bookmarkStart w:id="77" w:name="hardware-design"/>
    <w:p>
      <w:pPr>
        <w:pStyle w:val="Heading2"/>
      </w:pPr>
      <w:r>
        <w:t xml:space="preserve">Hardware Design</w:t>
      </w:r>
    </w:p>
    <w:bookmarkStart w:id="75" w:name="headset-mechanical-design"/>
    <w:p>
      <w:pPr>
        <w:pStyle w:val="Heading3"/>
      </w:pPr>
      <w:r>
        <w:t xml:space="preserve">Headset Mechanical Design</w:t>
      </w:r>
    </w:p>
    <w:bookmarkEnd w:id="75"/>
    <w:bookmarkStart w:id="76" w:name="electronics-components"/>
    <w:p>
      <w:pPr>
        <w:pStyle w:val="Heading3"/>
      </w:pPr>
      <w:r>
        <w:t xml:space="preserve">Electronics Components</w:t>
      </w:r>
    </w:p>
    <w:bookmarkEnd w:id="76"/>
    <w:bookmarkEnd w:id="77"/>
    <w:bookmarkStart w:id="80" w:name="software-design"/>
    <w:p>
      <w:pPr>
        <w:pStyle w:val="Heading2"/>
      </w:pPr>
      <w:r>
        <w:t xml:space="preserve">Software Design</w:t>
      </w:r>
    </w:p>
    <w:bookmarkStart w:id="78" w:name="mobile-application"/>
    <w:p>
      <w:pPr>
        <w:pStyle w:val="Heading3"/>
      </w:pPr>
      <w:r>
        <w:t xml:space="preserve">Mobile Application</w:t>
      </w:r>
    </w:p>
    <w:bookmarkEnd w:id="78"/>
    <w:bookmarkStart w:id="79" w:name="biomarker-measurement-algorithms"/>
    <w:p>
      <w:pPr>
        <w:pStyle w:val="Heading3"/>
      </w:pPr>
      <w:r>
        <w:t xml:space="preserve">Biomarker Measurement Algorithms</w:t>
      </w:r>
    </w:p>
    <w:bookmarkEnd w:id="79"/>
    <w:bookmarkEnd w:id="80"/>
    <w:bookmarkStart w:id="81" w:name="design-considerations"/>
    <w:p>
      <w:pPr>
        <w:pStyle w:val="Heading2"/>
      </w:pPr>
      <w:r>
        <w:t xml:space="preserve">Design Considerations</w:t>
      </w:r>
    </w:p>
    <w:bookmarkEnd w:id="81"/>
    <w:bookmarkEnd w:id="82"/>
    <w:bookmarkStart w:id="96" w:name="chapter:implementation"/>
    <w:p>
      <w:pPr>
        <w:pStyle w:val="Heading1"/>
      </w:pPr>
      <w:r>
        <w:t xml:space="preserve">Implementation</w:t>
      </w:r>
    </w:p>
    <w:bookmarkStart w:id="85" w:name="hardware-implementation"/>
    <w:p>
      <w:pPr>
        <w:pStyle w:val="Heading2"/>
      </w:pPr>
      <w:r>
        <w:t xml:space="preserve">Hardware Implementation</w:t>
      </w:r>
    </w:p>
    <w:bookmarkStart w:id="83" w:name="mechanical-assembly"/>
    <w:p>
      <w:pPr>
        <w:pStyle w:val="Heading3"/>
      </w:pPr>
      <w:r>
        <w:t xml:space="preserve">Mechanical Assembly</w:t>
      </w:r>
    </w:p>
    <w:bookmarkEnd w:id="83"/>
    <w:bookmarkStart w:id="84" w:name="electronics-integration"/>
    <w:p>
      <w:pPr>
        <w:pStyle w:val="Heading3"/>
      </w:pPr>
      <w:r>
        <w:t xml:space="preserve">Electronics Integration</w:t>
      </w:r>
    </w:p>
    <w:bookmarkEnd w:id="84"/>
    <w:bookmarkEnd w:id="85"/>
    <w:bookmarkStart w:id="94" w:name="software-implementation"/>
    <w:p>
      <w:pPr>
        <w:pStyle w:val="Heading2"/>
      </w:pPr>
      <w:r>
        <w:t xml:space="preserve">Software Implementation</w:t>
      </w:r>
    </w:p>
    <w:bookmarkStart w:id="86" w:name="mobile-application-development"/>
    <w:p>
      <w:pPr>
        <w:pStyle w:val="Heading3"/>
      </w:pPr>
      <w:r>
        <w:t xml:space="preserve">Mobile Application Development</w:t>
      </w:r>
    </w:p>
    <w:bookmarkEnd w:id="86"/>
    <w:bookmarkStart w:id="87" w:name="pupil-detection-and-tracking"/>
    <w:p>
      <w:pPr>
        <w:pStyle w:val="Heading3"/>
      </w:pPr>
      <w:r>
        <w:t xml:space="preserve">Pupil Detection and Tracking</w:t>
      </w:r>
    </w:p>
    <w:bookmarkEnd w:id="87"/>
    <w:bookmarkStart w:id="92" w:name="biomarker-measurement-implementation"/>
    <w:p>
      <w:pPr>
        <w:pStyle w:val="Heading3"/>
      </w:pPr>
      <w:r>
        <w:t xml:space="preserve">Biomarker Measurement Implementation</w:t>
      </w:r>
    </w:p>
    <w:bookmarkStart w:id="88" w:name="pupillary-light-reflex-plr"/>
    <w:p>
      <w:pPr>
        <w:pStyle w:val="Heading4"/>
      </w:pPr>
      <w:r>
        <w:t xml:space="preserve">Pupillary Light Reflex (PLR)</w:t>
      </w:r>
    </w:p>
    <w:bookmarkEnd w:id="88"/>
    <w:bookmarkStart w:id="89" w:name="convergence-test"/>
    <w:p>
      <w:pPr>
        <w:pStyle w:val="Heading4"/>
      </w:pPr>
      <w:r>
        <w:t xml:space="preserve">Convergence Test</w:t>
      </w:r>
    </w:p>
    <w:bookmarkEnd w:id="89"/>
    <w:bookmarkStart w:id="90" w:name="smooth-pursuit-test"/>
    <w:p>
      <w:pPr>
        <w:pStyle w:val="Heading4"/>
      </w:pPr>
      <w:r>
        <w:t xml:space="preserve">Smooth Pursuit Test</w:t>
      </w:r>
    </w:p>
    <w:bookmarkEnd w:id="90"/>
    <w:bookmarkStart w:id="91" w:name="microsaccade-detection"/>
    <w:p>
      <w:pPr>
        <w:pStyle w:val="Heading4"/>
      </w:pPr>
      <w:r>
        <w:t xml:space="preserve">Microsaccade Detection</w:t>
      </w:r>
    </w:p>
    <w:bookmarkEnd w:id="91"/>
    <w:bookmarkEnd w:id="92"/>
    <w:bookmarkStart w:id="93" w:name="data-management"/>
    <w:p>
      <w:pPr>
        <w:pStyle w:val="Heading3"/>
      </w:pPr>
      <w:r>
        <w:t xml:space="preserve">Data Management</w:t>
      </w:r>
    </w:p>
    <w:bookmarkEnd w:id="93"/>
    <w:bookmarkEnd w:id="94"/>
    <w:bookmarkStart w:id="95" w:name="integration-and-system-testing"/>
    <w:p>
      <w:pPr>
        <w:pStyle w:val="Heading2"/>
      </w:pPr>
      <w:r>
        <w:t xml:space="preserve">Integration and System Testing</w:t>
      </w:r>
    </w:p>
    <w:bookmarkEnd w:id="95"/>
    <w:bookmarkEnd w:id="96"/>
    <w:bookmarkStart w:id="107" w:name="chapter:testing"/>
    <w:p>
      <w:pPr>
        <w:pStyle w:val="Heading1"/>
      </w:pPr>
      <w:r>
        <w:t xml:space="preserve">Testing and Evaluation</w:t>
      </w:r>
    </w:p>
    <w:bookmarkStart w:id="97" w:name="testing-methodology"/>
    <w:p>
      <w:pPr>
        <w:pStyle w:val="Heading2"/>
      </w:pPr>
      <w:r>
        <w:t xml:space="preserve">Testing Methodology</w:t>
      </w:r>
    </w:p>
    <w:bookmarkEnd w:id="97"/>
    <w:bookmarkStart w:id="100" w:name="unit-testing"/>
    <w:p>
      <w:pPr>
        <w:pStyle w:val="Heading2"/>
      </w:pPr>
      <w:r>
        <w:t xml:space="preserve">Unit Testing</w:t>
      </w:r>
    </w:p>
    <w:bookmarkStart w:id="98" w:name="hardware-component-testing"/>
    <w:p>
      <w:pPr>
        <w:pStyle w:val="Heading3"/>
      </w:pPr>
      <w:r>
        <w:t xml:space="preserve">Hardware Component Testing</w:t>
      </w:r>
    </w:p>
    <w:bookmarkEnd w:id="98"/>
    <w:bookmarkStart w:id="99" w:name="software-module-testing"/>
    <w:p>
      <w:pPr>
        <w:pStyle w:val="Heading3"/>
      </w:pPr>
      <w:r>
        <w:t xml:space="preserve">Software Module Testing</w:t>
      </w:r>
    </w:p>
    <w:bookmarkEnd w:id="99"/>
    <w:bookmarkEnd w:id="100"/>
    <w:bookmarkStart w:id="101" w:name="system-integration-testing"/>
    <w:p>
      <w:pPr>
        <w:pStyle w:val="Heading2"/>
      </w:pPr>
      <w:r>
        <w:t xml:space="preserve">System Integration Testing</w:t>
      </w:r>
    </w:p>
    <w:bookmarkEnd w:id="101"/>
    <w:bookmarkStart w:id="104" w:name="validation-studies"/>
    <w:p>
      <w:pPr>
        <w:pStyle w:val="Heading2"/>
      </w:pPr>
      <w:r>
        <w:t xml:space="preserve">Validation Studies</w:t>
      </w:r>
    </w:p>
    <w:bookmarkStart w:id="102" w:name="accuracy-testing"/>
    <w:p>
      <w:pPr>
        <w:pStyle w:val="Heading3"/>
      </w:pPr>
      <w:r>
        <w:t xml:space="preserve">Accuracy Testing</w:t>
      </w:r>
    </w:p>
    <w:bookmarkEnd w:id="102"/>
    <w:bookmarkStart w:id="103" w:name="usability-testing"/>
    <w:p>
      <w:pPr>
        <w:pStyle w:val="Heading3"/>
      </w:pPr>
      <w:r>
        <w:t xml:space="preserve">Usability Testing</w:t>
      </w:r>
    </w:p>
    <w:bookmarkEnd w:id="103"/>
    <w:bookmarkEnd w:id="104"/>
    <w:bookmarkStart w:id="105" w:name="results"/>
    <w:p>
      <w:pPr>
        <w:pStyle w:val="Heading2"/>
      </w:pPr>
      <w:r>
        <w:t xml:space="preserve">Results</w:t>
      </w:r>
    </w:p>
    <w:bookmarkEnd w:id="105"/>
    <w:bookmarkStart w:id="106" w:name="discussion"/>
    <w:p>
      <w:pPr>
        <w:pStyle w:val="Heading2"/>
      </w:pPr>
      <w:r>
        <w:t xml:space="preserve">Discussion</w:t>
      </w:r>
    </w:p>
    <w:bookmarkEnd w:id="106"/>
    <w:bookmarkEnd w:id="107"/>
    <w:bookmarkStart w:id="113" w:name="chapter:conclusion"/>
    <w:p>
      <w:pPr>
        <w:pStyle w:val="Heading1"/>
      </w:pPr>
      <w:r>
        <w:t xml:space="preserve">Conclusion and Future Work</w:t>
      </w:r>
    </w:p>
    <w:bookmarkStart w:id="108" w:name="summary"/>
    <w:p>
      <w:pPr>
        <w:pStyle w:val="Heading2"/>
      </w:pPr>
      <w:r>
        <w:t xml:space="preserve">Summary</w:t>
      </w:r>
    </w:p>
    <w:bookmarkEnd w:id="108"/>
    <w:bookmarkStart w:id="109" w:name="contributions"/>
    <w:p>
      <w:pPr>
        <w:pStyle w:val="Heading2"/>
      </w:pPr>
      <w:r>
        <w:t xml:space="preserve">Contributions</w:t>
      </w:r>
    </w:p>
    <w:bookmarkEnd w:id="109"/>
    <w:bookmarkStart w:id="110" w:name="limitations"/>
    <w:p>
      <w:pPr>
        <w:pStyle w:val="Heading2"/>
      </w:pPr>
      <w:r>
        <w:t xml:space="preserve">Limitations</w:t>
      </w:r>
    </w:p>
    <w:bookmarkEnd w:id="110"/>
    <w:bookmarkStart w:id="111" w:name="future-work"/>
    <w:p>
      <w:pPr>
        <w:pStyle w:val="Heading2"/>
      </w:pPr>
      <w:r>
        <w:t xml:space="preserve">Future Work</w:t>
      </w:r>
    </w:p>
    <w:bookmarkEnd w:id="111"/>
    <w:bookmarkStart w:id="112" w:name="concluding-remarks"/>
    <w:p>
      <w:pPr>
        <w:pStyle w:val="Heading2"/>
      </w:pPr>
      <w:r>
        <w:t xml:space="preserve">Concluding Remarks</w:t>
      </w:r>
    </w:p>
    <w:bookmarkEnd w:id="112"/>
    <w:bookmarkEnd w:id="113"/>
    <w:bookmarkStart w:id="118" w:name="appendix:hardware"/>
    <w:p>
      <w:pPr>
        <w:pStyle w:val="Heading1"/>
      </w:pPr>
      <w:r>
        <w:t xml:space="preserve">Hardware Specifications and Schematics</w:t>
      </w:r>
    </w:p>
    <w:bookmarkStart w:id="114" w:name="circuit-diagrams"/>
    <w:p>
      <w:pPr>
        <w:pStyle w:val="Heading2"/>
      </w:pPr>
      <w:r>
        <w:t xml:space="preserve">Circuit Diagrams</w:t>
      </w:r>
    </w:p>
    <w:bookmarkEnd w:id="114"/>
    <w:bookmarkStart w:id="115" w:name="bill-of-materials-bom"/>
    <w:p>
      <w:pPr>
        <w:pStyle w:val="Heading2"/>
      </w:pPr>
      <w:r>
        <w:t xml:space="preserve">Bill of Materials (BOM)</w:t>
      </w:r>
    </w:p>
    <w:bookmarkEnd w:id="115"/>
    <w:bookmarkStart w:id="116" w:name="pcb-layout"/>
    <w:p>
      <w:pPr>
        <w:pStyle w:val="Heading2"/>
      </w:pPr>
      <w:r>
        <w:t xml:space="preserve">PCB Layout</w:t>
      </w:r>
    </w:p>
    <w:bookmarkEnd w:id="116"/>
    <w:bookmarkStart w:id="117" w:name="component-datasheets"/>
    <w:p>
      <w:pPr>
        <w:pStyle w:val="Heading2"/>
      </w:pPr>
      <w:r>
        <w:t xml:space="preserve">Component Datasheets</w:t>
      </w:r>
    </w:p>
    <w:bookmarkEnd w:id="117"/>
    <w:bookmarkEnd w:id="118"/>
    <w:bookmarkStart w:id="207" w:name="appendix:software"/>
    <w:p>
      <w:pPr>
        <w:pStyle w:val="Heading1"/>
      </w:pPr>
      <w:r>
        <w:t xml:space="preserve">Software Documentation</w:t>
      </w:r>
    </w:p>
    <w:bookmarkStart w:id="119" w:name="software-architecture"/>
    <w:p>
      <w:pPr>
        <w:pStyle w:val="Heading2"/>
      </w:pPr>
      <w:r>
        <w:t xml:space="preserve">Software Architecture</w:t>
      </w:r>
    </w:p>
    <w:bookmarkEnd w:id="119"/>
    <w:bookmarkStart w:id="120" w:name="api-documentation"/>
    <w:p>
      <w:pPr>
        <w:pStyle w:val="Heading2"/>
      </w:pPr>
      <w:r>
        <w:t xml:space="preserve">API Documentation</w:t>
      </w:r>
    </w:p>
    <w:bookmarkEnd w:id="120"/>
    <w:bookmarkStart w:id="121" w:name="key-code-snippets"/>
    <w:p>
      <w:pPr>
        <w:pStyle w:val="Heading2"/>
      </w:pPr>
      <w:r>
        <w:t xml:space="preserve">Key Code Snippets</w:t>
      </w:r>
    </w:p>
    <w:bookmarkEnd w:id="121"/>
    <w:bookmarkStart w:id="122" w:name="user-manual"/>
    <w:p>
      <w:pPr>
        <w:pStyle w:val="Heading2"/>
      </w:pPr>
      <w:r>
        <w:t xml:space="preserve">User Manual</w:t>
      </w:r>
    </w:p>
    <w:bookmarkEnd w:id="122"/>
    <w:bookmarkStart w:id="206" w:name="testing-data"/>
    <w:p>
      <w:pPr>
        <w:pStyle w:val="Heading2"/>
      </w:pPr>
      <w:r>
        <w:t xml:space="preserve">Testing Data</w:t>
      </w:r>
    </w:p>
    <w:bookmarkStart w:id="205" w:name="refs"/>
    <w:bookmarkStart w:id="124" w:name="ref-bazarian2018blood"/>
    <w:p>
      <w:pPr>
        <w:pStyle w:val="Bibliography"/>
      </w:pPr>
      <w:r>
        <w:t xml:space="preserve">Bazarian, Jeffrey J, Peter Biberthaler, Robert D Welch, Linda M Lewis, Pal Barzo, Veronika Bogner-Flatz, P Gunnar Brolinson, et al. 2018.</w:t>
      </w:r>
      <w:r>
        <w:t xml:space="preserve"> </w:t>
      </w:r>
      <w:r>
        <w:t xml:space="preserve">“Serum</w:t>
      </w:r>
      <w:r>
        <w:t xml:space="preserve"> </w:t>
      </w:r>
      <w:r>
        <w:t xml:space="preserve">GFAP</w:t>
      </w:r>
      <w:r>
        <w:t xml:space="preserve"> </w:t>
      </w:r>
      <w:r>
        <w:t xml:space="preserve">and</w:t>
      </w:r>
      <w:r>
        <w:t xml:space="preserve"> </w:t>
      </w:r>
      <w:r>
        <w:t xml:space="preserve">UCH-L1</w:t>
      </w:r>
      <w:r>
        <w:t xml:space="preserve"> </w:t>
      </w:r>
      <w:r>
        <w:t xml:space="preserve">for Prediction of Absence of Intracranial Injuries on Head</w:t>
      </w:r>
      <w:r>
        <w:t xml:space="preserve"> </w:t>
      </w:r>
      <w:r>
        <w:t xml:space="preserve">CT</w:t>
      </w:r>
      <w:r>
        <w:t xml:space="preserve"> </w:t>
      </w:r>
      <w:r>
        <w:t xml:space="preserve">(</w:t>
      </w:r>
      <w:r>
        <w:t xml:space="preserve">ALERT-TBI</w:t>
      </w:r>
      <w:r>
        <w:t xml:space="preserve">): A Multicentre Observational Study.”</w:t>
      </w:r>
      <w:r>
        <w:t xml:space="preserve"> </w:t>
      </w:r>
      <w:r>
        <w:rPr>
          <w:iCs/>
          <w:i/>
        </w:rPr>
        <w:t xml:space="preserve">The Lancet Neurology</w:t>
      </w:r>
      <w:r>
        <w:t xml:space="preserve"> </w:t>
      </w:r>
      <w:r>
        <w:t xml:space="preserve">17 (9): 782–89.</w:t>
      </w:r>
      <w:r>
        <w:t xml:space="preserve"> </w:t>
      </w:r>
      <w:hyperlink r:id="rId123">
        <w:r>
          <w:rPr>
            <w:rStyle w:val="Hyperlink"/>
          </w:rPr>
          <w:t xml:space="preserve">https://doi.org/10.1016/S1474-4422(18)30231-X</w:t>
        </w:r>
      </w:hyperlink>
      <w:r>
        <w:t xml:space="preserve">.</w:t>
      </w:r>
    </w:p>
    <w:bookmarkEnd w:id="124"/>
    <w:bookmarkStart w:id="126" w:name="ref-boulter2021expanding"/>
    <w:p>
      <w:pPr>
        <w:pStyle w:val="Bibliography"/>
      </w:pPr>
      <w:r>
        <w:t xml:space="preserve">Boulter, Joseph H, Mallory M Shields, Mackenzie R Meister, Shannon B Murtha, Blaine P Curry, and Beth A Dengler. 2021.</w:t>
      </w:r>
      <w:r>
        <w:t xml:space="preserve"> </w:t>
      </w:r>
      <w:r>
        <w:t xml:space="preserve">“The Expanding Role of Quantitative Pupillometry in the Evaluation and Management of Traumatic Brain Injury.”</w:t>
      </w:r>
      <w:r>
        <w:t xml:space="preserve"> </w:t>
      </w:r>
      <w:r>
        <w:rPr>
          <w:iCs/>
          <w:i/>
        </w:rPr>
        <w:t xml:space="preserve">Frontiers in Neurology</w:t>
      </w:r>
      <w:r>
        <w:t xml:space="preserve"> </w:t>
      </w:r>
      <w:r>
        <w:t xml:space="preserve">12: 685313.</w:t>
      </w:r>
      <w:r>
        <w:t xml:space="preserve"> </w:t>
      </w:r>
      <w:hyperlink r:id="rId125">
        <w:r>
          <w:rPr>
            <w:rStyle w:val="Hyperlink"/>
          </w:rPr>
          <w:t xml:space="preserve">https://doi.org/10.3389/fneur.2021.685313</w:t>
        </w:r>
      </w:hyperlink>
      <w:r>
        <w:t xml:space="preserve">.</w:t>
      </w:r>
    </w:p>
    <w:bookmarkEnd w:id="126"/>
    <w:bookmarkStart w:id="128" w:name="ref-bruggeman2020tai"/>
    <w:p>
      <w:pPr>
        <w:pStyle w:val="Bibliography"/>
      </w:pPr>
      <w:r>
        <w:t xml:space="preserve">Bruggeman, G F, I K Haitsma, C M F Dirven, and V Volovici. 2020.</w:t>
      </w:r>
      <w:r>
        <w:t xml:space="preserve"> </w:t>
      </w:r>
      <w:r>
        <w:t xml:space="preserve">“Traumatic Axonal Injury (TAI): Definitions, Pathophysiology and Imaging—a Narrative Review.”</w:t>
      </w:r>
      <w:r>
        <w:t xml:space="preserve"> </w:t>
      </w:r>
      <w:r>
        <w:rPr>
          <w:iCs/>
          <w:i/>
        </w:rPr>
        <w:t xml:space="preserve">Acta Neurochirurgica</w:t>
      </w:r>
      <w:r>
        <w:t xml:space="preserve"> </w:t>
      </w:r>
      <w:r>
        <w:t xml:space="preserve">163 (1): 31–44.</w:t>
      </w:r>
      <w:r>
        <w:t xml:space="preserve"> </w:t>
      </w:r>
      <w:hyperlink r:id="rId127">
        <w:r>
          <w:rPr>
            <w:rStyle w:val="Hyperlink"/>
          </w:rPr>
          <w:t xml:space="preserve">https://doi.org/10.1007/s00701-020-04594-1</w:t>
        </w:r>
      </w:hyperlink>
      <w:r>
        <w:t xml:space="preserve">.</w:t>
      </w:r>
    </w:p>
    <w:bookmarkEnd w:id="128"/>
    <w:bookmarkStart w:id="130" w:name="ref-cassidy2004incidence"/>
    <w:p>
      <w:pPr>
        <w:pStyle w:val="Bibliography"/>
      </w:pPr>
      <w:r>
        <w:t xml:space="preserve">Cassidy, J David, Linda J Carroll, Paul M Peloso, Jörgen Borg, Hans von Holst, Lena Holm, Jess Kraus, and Victor G Coronado. 2004.</w:t>
      </w:r>
      <w:r>
        <w:t xml:space="preserve"> </w:t>
      </w:r>
      <w:r>
        <w:t xml:space="preserve">“Incidence, Risk Factors and Prevention of Mild Traumatic Brain Injury:</w:t>
      </w:r>
      <w:r>
        <w:t xml:space="preserve"> </w:t>
      </w:r>
      <w:r>
        <w:t xml:space="preserve">R</w:t>
      </w:r>
      <w:r>
        <w:t xml:space="preserve">esults of the</w:t>
      </w:r>
      <w:r>
        <w:t xml:space="preserve"> </w:t>
      </w:r>
      <w:r>
        <w:t xml:space="preserve">WHO</w:t>
      </w:r>
      <w:r>
        <w:t xml:space="preserve"> </w:t>
      </w:r>
      <w:r>
        <w:t xml:space="preserve">Collaborating Centre Task Force on Mild Traumatic Brain Injury.”</w:t>
      </w:r>
      <w:r>
        <w:t xml:space="preserve"> </w:t>
      </w:r>
      <w:r>
        <w:rPr>
          <w:iCs/>
          <w:i/>
        </w:rPr>
        <w:t xml:space="preserve">Journal of Rehabilitation Medicine</w:t>
      </w:r>
      <w:r>
        <w:t xml:space="preserve"> </w:t>
      </w:r>
      <w:r>
        <w:t xml:space="preserve">43: 28–60.</w:t>
      </w:r>
      <w:r>
        <w:t xml:space="preserve"> </w:t>
      </w:r>
      <w:hyperlink r:id="rId129">
        <w:r>
          <w:rPr>
            <w:rStyle w:val="Hyperlink"/>
          </w:rPr>
          <w:t xml:space="preserve">https://doi.org/10.1080/16501960410023732</w:t>
        </w:r>
      </w:hyperlink>
      <w:r>
        <w:t xml:space="preserve">.</w:t>
      </w:r>
    </w:p>
    <w:bookmarkEnd w:id="130"/>
    <w:bookmarkStart w:id="132" w:name="ref-ciuffreda2017plr"/>
    <w:p>
      <w:pPr>
        <w:pStyle w:val="Bibliography"/>
      </w:pPr>
      <w:r>
        <w:t xml:space="preserve">Ciuffreda, Kenneth J, Neera R Joshi, and Jaclyn Q Truong. 2017.</w:t>
      </w:r>
      <w:r>
        <w:t xml:space="preserve"> </w:t>
      </w:r>
      <w:r>
        <w:t xml:space="preserve">“Understanding the Effects of Mild Traumatic Brain Injury on the Pupillary Light Reflex.”</w:t>
      </w:r>
      <w:r>
        <w:t xml:space="preserve"> </w:t>
      </w:r>
      <w:r>
        <w:rPr>
          <w:iCs/>
          <w:i/>
        </w:rPr>
        <w:t xml:space="preserve">Concussion</w:t>
      </w:r>
      <w:r>
        <w:t xml:space="preserve"> </w:t>
      </w:r>
      <w:r>
        <w:t xml:space="preserve">2 (3): CNC36.</w:t>
      </w:r>
      <w:r>
        <w:t xml:space="preserve"> </w:t>
      </w:r>
      <w:hyperlink r:id="rId131">
        <w:r>
          <w:rPr>
            <w:rStyle w:val="Hyperlink"/>
          </w:rPr>
          <w:t xml:space="preserve">https://doi.org/10.2217/cnc-2016-0029</w:t>
        </w:r>
      </w:hyperlink>
      <w:r>
        <w:t xml:space="preserve">.</w:t>
      </w:r>
    </w:p>
    <w:bookmarkEnd w:id="132"/>
    <w:bookmarkStart w:id="134" w:name="ref-devani2024convergence"/>
    <w:p>
      <w:pPr>
        <w:pStyle w:val="Bibliography"/>
      </w:pPr>
      <w:r>
        <w:t xml:space="preserve">Devani, Kunal, Frank Zheng, Linda M Gerber, Meeryo C Choe, Susan Riggio, Deborah Alsbrook, Laura J Balcer, and Steven L Galetta. 2024.</w:t>
      </w:r>
      <w:r>
        <w:t xml:space="preserve"> </w:t>
      </w:r>
      <w:r>
        <w:t xml:space="preserve">“Convergence Insufficiency as a Predictor of Poor Prognosis After Acute Mild Traumatic Brain Injury.”</w:t>
      </w:r>
      <w:r>
        <w:t xml:space="preserve"> </w:t>
      </w:r>
      <w:r>
        <w:rPr>
          <w:iCs/>
          <w:i/>
        </w:rPr>
        <w:t xml:space="preserve">International Journal of Emergency Medicine</w:t>
      </w:r>
      <w:r>
        <w:t xml:space="preserve"> </w:t>
      </w:r>
      <w:r>
        <w:t xml:space="preserve">17: 166.</w:t>
      </w:r>
      <w:r>
        <w:t xml:space="preserve"> </w:t>
      </w:r>
      <w:hyperlink r:id="rId133">
        <w:r>
          <w:rPr>
            <w:rStyle w:val="Hyperlink"/>
          </w:rPr>
          <w:t xml:space="preserve">https://doi.org/10.1186/s12245-024-00747-6</w:t>
        </w:r>
      </w:hyperlink>
      <w:r>
        <w:t xml:space="preserve">.</w:t>
      </w:r>
    </w:p>
    <w:bookmarkEnd w:id="134"/>
    <w:bookmarkStart w:id="136" w:name="ref-dewan2019estimating"/>
    <w:p>
      <w:pPr>
        <w:pStyle w:val="Bibliography"/>
      </w:pPr>
      <w:r>
        <w:t xml:space="preserve">Dewan, Michael C, Abbas Rattani, Saksham Gupta, Ronnie E Baticulon, Yu-Chun Hung, Maria Punchak, Amit Agrawal, et al. 2019.</w:t>
      </w:r>
      <w:r>
        <w:t xml:space="preserve"> </w:t>
      </w:r>
      <w:r>
        <w:t xml:space="preserve">“Estimating the Global Incidence of Traumatic Brain Injury.”</w:t>
      </w:r>
      <w:r>
        <w:t xml:space="preserve"> </w:t>
      </w:r>
      <w:r>
        <w:rPr>
          <w:iCs/>
          <w:i/>
        </w:rPr>
        <w:t xml:space="preserve">Journal of Neurosurgery</w:t>
      </w:r>
      <w:r>
        <w:t xml:space="preserve"> </w:t>
      </w:r>
      <w:r>
        <w:t xml:space="preserve">130 (4): 1080–97.</w:t>
      </w:r>
      <w:r>
        <w:t xml:space="preserve"> </w:t>
      </w:r>
      <w:hyperlink r:id="rId135">
        <w:r>
          <w:rPr>
            <w:rStyle w:val="Hyperlink"/>
          </w:rPr>
          <w:t xml:space="preserve">https://doi.org/10.3171/2017.10.JNS17352</w:t>
        </w:r>
      </w:hyperlink>
      <w:r>
        <w:t xml:space="preserve">.</w:t>
      </w:r>
    </w:p>
    <w:bookmarkEnd w:id="136"/>
    <w:bookmarkStart w:id="138" w:name="ref-duprey2017convergence"/>
    <w:p>
      <w:pPr>
        <w:pStyle w:val="Bibliography"/>
      </w:pPr>
      <w:r>
        <w:t xml:space="preserve">DuPrey, Kathryn M, Deborah Webner, Allison Lyons, Cagatay H Kucuk, Peter F Cronholm, Mark Halstead, and Tamara C Valovich McLeod. 2017.</w:t>
      </w:r>
      <w:r>
        <w:t xml:space="preserve"> </w:t>
      </w:r>
      <w:r>
        <w:t xml:space="preserve">“Convergence Insufficiency Identifies Athletes at Risk of Prolonged Recovery from Sport-Related Concussion.”</w:t>
      </w:r>
      <w:r>
        <w:t xml:space="preserve"> </w:t>
      </w:r>
      <w:r>
        <w:rPr>
          <w:iCs/>
          <w:i/>
        </w:rPr>
        <w:t xml:space="preserve">The American Journal of Sports Medicine</w:t>
      </w:r>
      <w:r>
        <w:t xml:space="preserve"> </w:t>
      </w:r>
      <w:r>
        <w:t xml:space="preserve">45 (10): 2388–93.</w:t>
      </w:r>
      <w:r>
        <w:t xml:space="preserve"> </w:t>
      </w:r>
      <w:hyperlink r:id="rId137">
        <w:r>
          <w:rPr>
            <w:rStyle w:val="Hyperlink"/>
          </w:rPr>
          <w:t xml:space="preserve">https://doi.org/10.1177/0363546517705640</w:t>
        </w:r>
      </w:hyperlink>
      <w:r>
        <w:t xml:space="preserve">.</w:t>
      </w:r>
    </w:p>
    <w:bookmarkEnd w:id="138"/>
    <w:bookmarkStart w:id="140" w:name="ref-echemendia2023crt6"/>
    <w:p>
      <w:pPr>
        <w:pStyle w:val="Bibliography"/>
      </w:pPr>
      <w:r>
        <w:t xml:space="preserve">Echemendia, Ruben J, Osman Hassan Ahmed, Christopher M Bailey, Jeffrey T Barth, Gordon A Bloom, Peter Brukner, Richard Budgett, et al. 2023.</w:t>
      </w:r>
      <w:r>
        <w:t xml:space="preserve"> </w:t>
      </w:r>
      <w:r>
        <w:t xml:space="preserve">“The Concussion Recognition Tool 6 (</w:t>
      </w:r>
      <w:r>
        <w:t xml:space="preserve">CRT6</w:t>
      </w:r>
      <w:r>
        <w:t xml:space="preserve">).”</w:t>
      </w:r>
      <w:r>
        <w:t xml:space="preserve"> </w:t>
      </w:r>
      <w:r>
        <w:rPr>
          <w:iCs/>
          <w:i/>
        </w:rPr>
        <w:t xml:space="preserve">British Journal of Sports Medicine</w:t>
      </w:r>
      <w:r>
        <w:t xml:space="preserve"> </w:t>
      </w:r>
      <w:r>
        <w:t xml:space="preserve">57 (11): 689–91.</w:t>
      </w:r>
      <w:r>
        <w:t xml:space="preserve"> </w:t>
      </w:r>
      <w:hyperlink r:id="rId139">
        <w:r>
          <w:rPr>
            <w:rStyle w:val="Hyperlink"/>
          </w:rPr>
          <w:t xml:space="preserve">https://doi.org/10.1136/bjsports-2023-107071</w:t>
        </w:r>
      </w:hyperlink>
      <w:r>
        <w:t xml:space="preserve">.</w:t>
      </w:r>
    </w:p>
    <w:bookmarkEnd w:id="140"/>
    <w:bookmarkStart w:id="142" w:name="ref-echemendia2023scat6"/>
    <w:p>
      <w:pPr>
        <w:pStyle w:val="Bibliography"/>
      </w:pPr>
      <w:r>
        <w:t xml:space="preserve">Echemendia, Ruben J, Benjamin L Brett, Steven Broglio, Gavin A Davis, Christopher C Giza, Kevin M Guskiewicz, Stanley A Herring, et al. 2023.</w:t>
      </w:r>
      <w:r>
        <w:t xml:space="preserve"> </w:t>
      </w:r>
      <w:r>
        <w:t xml:space="preserve">“Sport Concussion Assessment Tool – 6th Edition (</w:t>
      </w:r>
      <w:r>
        <w:t xml:space="preserve">SCAT6</w:t>
      </w:r>
      <w:r>
        <w:t xml:space="preserve">).”</w:t>
      </w:r>
      <w:r>
        <w:t xml:space="preserve"> </w:t>
      </w:r>
      <w:r>
        <w:rPr>
          <w:iCs/>
          <w:i/>
        </w:rPr>
        <w:t xml:space="preserve">British Journal of Sports Medicine</w:t>
      </w:r>
      <w:r>
        <w:t xml:space="preserve"> </w:t>
      </w:r>
      <w:r>
        <w:t xml:space="preserve">57 (11): 622–31.</w:t>
      </w:r>
      <w:r>
        <w:t xml:space="preserve"> </w:t>
      </w:r>
      <w:hyperlink r:id="rId141">
        <w:r>
          <w:rPr>
            <w:rStyle w:val="Hyperlink"/>
          </w:rPr>
          <w:t xml:space="preserve">https://doi.org/10.1136/bjsports-2023-107033</w:t>
        </w:r>
      </w:hyperlink>
      <w:r>
        <w:t xml:space="preserve">.</w:t>
      </w:r>
    </w:p>
    <w:bookmarkEnd w:id="142"/>
    <w:bookmarkStart w:id="144" w:name="ref-haydel2000ct"/>
    <w:p>
      <w:pPr>
        <w:pStyle w:val="Bibliography"/>
      </w:pPr>
      <w:r>
        <w:t xml:space="preserve">Haydel, Mel J, Christopher A Preston, Thomas J Mills, Steven Luber, Eric Blaudeau, and Peter M C DeBlieux. 2000.</w:t>
      </w:r>
      <w:r>
        <w:t xml:space="preserve"> </w:t>
      </w:r>
      <w:r>
        <w:t xml:space="preserve">“Indications for Computed Tomography in Patients with Minor Head Injury.”</w:t>
      </w:r>
      <w:r>
        <w:t xml:space="preserve"> </w:t>
      </w:r>
      <w:r>
        <w:rPr>
          <w:iCs/>
          <w:i/>
        </w:rPr>
        <w:t xml:space="preserve">New England Journal of Medicine</w:t>
      </w:r>
      <w:r>
        <w:t xml:space="preserve"> </w:t>
      </w:r>
      <w:r>
        <w:t xml:space="preserve">343 (2): 100–105.</w:t>
      </w:r>
      <w:r>
        <w:t xml:space="preserve"> </w:t>
      </w:r>
      <w:hyperlink r:id="rId143">
        <w:r>
          <w:rPr>
            <w:rStyle w:val="Hyperlink"/>
          </w:rPr>
          <w:t xml:space="preserve">https://doi.org/10.1056/NEJM200007133430204</w:t>
        </w:r>
      </w:hyperlink>
      <w:r>
        <w:t xml:space="preserve">.</w:t>
      </w:r>
    </w:p>
    <w:bookmarkEnd w:id="144"/>
    <w:bookmarkStart w:id="146" w:name="ref-hirad2019neural"/>
    <w:p>
      <w:pPr>
        <w:pStyle w:val="Bibliography"/>
      </w:pPr>
      <w:r>
        <w:t xml:space="preserve">Hirad, Adnan A, Jeffrey J Bazarian, Kian Merchant-Borna, Frank E Garcea, Sarah Heilbronner, David Paul, Eric B Hintz, et al. 2019.</w:t>
      </w:r>
      <w:r>
        <w:t xml:space="preserve"> </w:t>
      </w:r>
      <w:r>
        <w:t xml:space="preserve">“A Common Neural Signature of Brain Injury in Concussion and Subconcussion.”</w:t>
      </w:r>
      <w:r>
        <w:t xml:space="preserve"> </w:t>
      </w:r>
      <w:r>
        <w:rPr>
          <w:iCs/>
          <w:i/>
        </w:rPr>
        <w:t xml:space="preserve">Science Advances</w:t>
      </w:r>
      <w:r>
        <w:t xml:space="preserve"> </w:t>
      </w:r>
      <w:r>
        <w:t xml:space="preserve">5 (8): eaau3460.</w:t>
      </w:r>
      <w:r>
        <w:t xml:space="preserve"> </w:t>
      </w:r>
      <w:hyperlink r:id="rId145">
        <w:r>
          <w:rPr>
            <w:rStyle w:val="Hyperlink"/>
          </w:rPr>
          <w:t xml:space="preserve">https://doi.org/10.1126/sciadv.aau3460</w:t>
        </w:r>
      </w:hyperlink>
      <w:r>
        <w:t xml:space="preserve">.</w:t>
      </w:r>
    </w:p>
    <w:bookmarkEnd w:id="146"/>
    <w:bookmarkStart w:id="148" w:name="ref-hunfalvay2021smooth"/>
    <w:p>
      <w:pPr>
        <w:pStyle w:val="Bibliography"/>
      </w:pPr>
      <w:r>
        <w:t xml:space="preserve">Hunfalvay, Melissa, Nathan P Murray, Rosalind Mani, and Frederick R Carrick. 2021.</w:t>
      </w:r>
      <w:r>
        <w:t xml:space="preserve"> </w:t>
      </w:r>
      <w:r>
        <w:t xml:space="preserve">“Smooth Pursuit Eye Movements as a Biomarker for Mild Concussion Within</w:t>
      </w:r>
      <w:r>
        <w:t xml:space="preserve"> </w:t>
      </w:r>
      <w:r>
        <w:t xml:space="preserve">7-Days</w:t>
      </w:r>
      <w:r>
        <w:t xml:space="preserve"> </w:t>
      </w:r>
      <w:r>
        <w:t xml:space="preserve">of Injury.”</w:t>
      </w:r>
      <w:r>
        <w:t xml:space="preserve"> </w:t>
      </w:r>
      <w:r>
        <w:rPr>
          <w:iCs/>
          <w:i/>
        </w:rPr>
        <w:t xml:space="preserve">Brain Injury</w:t>
      </w:r>
      <w:r>
        <w:t xml:space="preserve"> </w:t>
      </w:r>
      <w:r>
        <w:t xml:space="preserve">35 (14): 1682–89.</w:t>
      </w:r>
      <w:r>
        <w:t xml:space="preserve"> </w:t>
      </w:r>
      <w:hyperlink r:id="rId147">
        <w:r>
          <w:rPr>
            <w:rStyle w:val="Hyperlink"/>
          </w:rPr>
          <w:t xml:space="preserve">https://doi.org/10.1080/02699052.2021.2012825</w:t>
        </w:r>
      </w:hyperlink>
      <w:r>
        <w:t xml:space="preserve">.</w:t>
      </w:r>
    </w:p>
    <w:bookmarkEnd w:id="148"/>
    <w:bookmarkStart w:id="150" w:name="ref-johnson2013axonal"/>
    <w:p>
      <w:pPr>
        <w:pStyle w:val="Bibliography"/>
      </w:pPr>
      <w:r>
        <w:t xml:space="preserve">Johnson, Victoria E, William Stewart, and Douglas H Smith. 2013.</w:t>
      </w:r>
      <w:r>
        <w:t xml:space="preserve"> </w:t>
      </w:r>
      <w:r>
        <w:t xml:space="preserve">“Axonal Pathology in Traumatic Brain Injury.”</w:t>
      </w:r>
      <w:r>
        <w:t xml:space="preserve"> </w:t>
      </w:r>
      <w:r>
        <w:rPr>
          <w:iCs/>
          <w:i/>
        </w:rPr>
        <w:t xml:space="preserve">Experimental Neurology</w:t>
      </w:r>
      <w:r>
        <w:t xml:space="preserve"> </w:t>
      </w:r>
      <w:r>
        <w:t xml:space="preserve">246: 35–43.</w:t>
      </w:r>
      <w:r>
        <w:t xml:space="preserve"> </w:t>
      </w:r>
      <w:hyperlink r:id="rId149">
        <w:r>
          <w:rPr>
            <w:rStyle w:val="Hyperlink"/>
          </w:rPr>
          <w:t xml:space="preserve">https://doi.org/10.1016/j.expneurol.2012.01.013</w:t>
        </w:r>
      </w:hyperlink>
      <w:r>
        <w:t xml:space="preserve">.</w:t>
      </w:r>
    </w:p>
    <w:bookmarkEnd w:id="150"/>
    <w:bookmarkStart w:id="152" w:name="ref-kelly2019combined"/>
    <w:p>
      <w:pPr>
        <w:pStyle w:val="Bibliography"/>
      </w:pPr>
      <w:r>
        <w:t xml:space="preserve">Kelly, Kamryn M, Alexander Kiderman, Shahriar Akhavan, Matthew R Quigley, Eric D Snell, Ellen Happ, Andrea S Synowiec, et al. 2019.</w:t>
      </w:r>
      <w:r>
        <w:t xml:space="preserve"> </w:t>
      </w:r>
      <w:r>
        <w:t xml:space="preserve">“Oculomotor, Vestibular, and Reaction Time Effects of Sports-Related Concussion: Video-Oculography in Assessing Sports-Related Concussion.”</w:t>
      </w:r>
      <w:r>
        <w:t xml:space="preserve"> </w:t>
      </w:r>
      <w:r>
        <w:rPr>
          <w:iCs/>
          <w:i/>
        </w:rPr>
        <w:t xml:space="preserve">Journal of Head Trauma Rehabilitation</w:t>
      </w:r>
      <w:r>
        <w:t xml:space="preserve"> </w:t>
      </w:r>
      <w:r>
        <w:t xml:space="preserve">34 (3): 176–88.</w:t>
      </w:r>
      <w:r>
        <w:t xml:space="preserve"> </w:t>
      </w:r>
      <w:hyperlink r:id="rId151">
        <w:r>
          <w:rPr>
            <w:rStyle w:val="Hyperlink"/>
          </w:rPr>
          <w:t xml:space="preserve">https://doi.org/10.1097/HTR.0000000000000437</w:t>
        </w:r>
      </w:hyperlink>
      <w:r>
        <w:t xml:space="preserve">.</w:t>
      </w:r>
    </w:p>
    <w:bookmarkEnd w:id="152"/>
    <w:bookmarkStart w:id="154" w:name="ref-lee2005neuroimaging"/>
    <w:p>
      <w:pPr>
        <w:pStyle w:val="Bibliography"/>
      </w:pPr>
      <w:r>
        <w:t xml:space="preserve">Lee, Hing, Max Wintermark, Alisa D Gean, Jamshid Ghajar, Geoffrey T Manley, and Pratik Mukherjee. 2005.</w:t>
      </w:r>
      <w:r>
        <w:t xml:space="preserve"> </w:t>
      </w:r>
      <w:r>
        <w:t xml:space="preserve">“Neuroimaging in Traumatic Brain Injury.”</w:t>
      </w:r>
      <w:r>
        <w:t xml:space="preserve"> </w:t>
      </w:r>
      <w:r>
        <w:rPr>
          <w:iCs/>
          <w:i/>
        </w:rPr>
        <w:t xml:space="preserve">NeuroRx</w:t>
      </w:r>
      <w:r>
        <w:t xml:space="preserve"> </w:t>
      </w:r>
      <w:r>
        <w:t xml:space="preserve">2 (2): 372–83.</w:t>
      </w:r>
      <w:r>
        <w:t xml:space="preserve"> </w:t>
      </w:r>
      <w:hyperlink r:id="rId153">
        <w:r>
          <w:rPr>
            <w:rStyle w:val="Hyperlink"/>
          </w:rPr>
          <w:t xml:space="preserve">https://doi.org/10.1602/neurorx.2.2.372</w:t>
        </w:r>
      </w:hyperlink>
      <w:r>
        <w:t xml:space="preserve">.</w:t>
      </w:r>
    </w:p>
    <w:bookmarkEnd w:id="154"/>
    <w:bookmarkStart w:id="156" w:name="ref-mallott2019cerebellar"/>
    <w:p>
      <w:pPr>
        <w:pStyle w:val="Bibliography"/>
      </w:pPr>
      <w:r>
        <w:t xml:space="preserve">Mallott, JoAnn, Inga K Koerte, Nico Kolbe, Paul S Echlin, Claus Reinsberger, Viktor Schultz, David Kaufmann, Ross Zafonte, and Martha E Shenton. 2019.</w:t>
      </w:r>
      <w:r>
        <w:t xml:space="preserve"> </w:t>
      </w:r>
      <w:r>
        <w:t xml:space="preserve">“White Matter Microstructure Integrity Is Affected in Chronic Mild Traumatic Brain Injury with Persistent Symptoms.”</w:t>
      </w:r>
      <w:r>
        <w:t xml:space="preserve"> </w:t>
      </w:r>
      <w:r>
        <w:rPr>
          <w:iCs/>
          <w:i/>
        </w:rPr>
        <w:t xml:space="preserve">Frontiers in Neurology</w:t>
      </w:r>
      <w:r>
        <w:t xml:space="preserve"> </w:t>
      </w:r>
      <w:r>
        <w:t xml:space="preserve">10: 518.</w:t>
      </w:r>
      <w:r>
        <w:t xml:space="preserve"> </w:t>
      </w:r>
      <w:hyperlink r:id="rId155">
        <w:r>
          <w:rPr>
            <w:rStyle w:val="Hyperlink"/>
          </w:rPr>
          <w:t xml:space="preserve">https://doi.org/10.3389/fneur.2019.00518</w:t>
        </w:r>
      </w:hyperlink>
      <w:r>
        <w:t xml:space="preserve">.</w:t>
      </w:r>
    </w:p>
    <w:bookmarkEnd w:id="156"/>
    <w:bookmarkStart w:id="158" w:name="ref-master2020pupillary"/>
    <w:p>
      <w:pPr>
        <w:pStyle w:val="Bibliography"/>
      </w:pPr>
      <w:r>
        <w:t xml:space="preserve">Master, Christina L, Olivia E Podolak, Kenneth J Ciuffreda, Jaclyn Mayer, Kristy B Arbogast, and Matthew F Grady. 2020.</w:t>
      </w:r>
      <w:r>
        <w:t xml:space="preserve"> </w:t>
      </w:r>
      <w:r>
        <w:t xml:space="preserve">“Utility of Pupillary Light Reflex Metrics as a Physiologic Biomarker for Adolescent Sport-Related Concussion.”</w:t>
      </w:r>
      <w:r>
        <w:t xml:space="preserve"> </w:t>
      </w:r>
      <w:r>
        <w:rPr>
          <w:iCs/>
          <w:i/>
        </w:rPr>
        <w:t xml:space="preserve">JAMA Ophthalmology</w:t>
      </w:r>
      <w:r>
        <w:t xml:space="preserve"> </w:t>
      </w:r>
      <w:r>
        <w:t xml:space="preserve">138 (11): 1135–41.</w:t>
      </w:r>
      <w:r>
        <w:t xml:space="preserve"> </w:t>
      </w:r>
      <w:hyperlink r:id="rId157">
        <w:r>
          <w:rPr>
            <w:rStyle w:val="Hyperlink"/>
          </w:rPr>
          <w:t xml:space="preserve">https://doi.org/10.1001/jamaophthalmol.2020.3466</w:t>
        </w:r>
      </w:hyperlink>
      <w:r>
        <w:t xml:space="preserve">.</w:t>
      </w:r>
    </w:p>
    <w:bookmarkEnd w:id="158"/>
    <w:bookmarkStart w:id="160" w:name="ref-maxin2024smartphone"/>
    <w:p>
      <w:pPr>
        <w:pStyle w:val="Bibliography"/>
      </w:pPr>
      <w:r>
        <w:t xml:space="preserve">Maxin, Alex J, Benjamin M Whelan, Michael R Levitt, Luke B McGrath, and Kimberly G Harmon. 2024.</w:t>
      </w:r>
      <w:r>
        <w:t xml:space="preserve"> </w:t>
      </w:r>
      <w:r>
        <w:t xml:space="preserve">“Smartphone-Based Pupillometry Using Machine Learning for the Diagnosis of Sports-Related Concussion.”</w:t>
      </w:r>
      <w:r>
        <w:t xml:space="preserve"> </w:t>
      </w:r>
      <w:r>
        <w:rPr>
          <w:iCs/>
          <w:i/>
        </w:rPr>
        <w:t xml:space="preserve">Diagnostics</w:t>
      </w:r>
      <w:r>
        <w:t xml:space="preserve"> </w:t>
      </w:r>
      <w:r>
        <w:t xml:space="preserve">14 (23): 2723.</w:t>
      </w:r>
      <w:r>
        <w:t xml:space="preserve"> </w:t>
      </w:r>
      <w:hyperlink r:id="rId159">
        <w:r>
          <w:rPr>
            <w:rStyle w:val="Hyperlink"/>
          </w:rPr>
          <w:t xml:space="preserve">https://doi.org/10.3390/diagnostics14232723</w:t>
        </w:r>
      </w:hyperlink>
      <w:r>
        <w:t xml:space="preserve">.</w:t>
      </w:r>
    </w:p>
    <w:bookmarkEnd w:id="160"/>
    <w:bookmarkStart w:id="162" w:name="ref-mccrea2004unreported"/>
    <w:p>
      <w:pPr>
        <w:pStyle w:val="Bibliography"/>
      </w:pPr>
      <w:r>
        <w:t xml:space="preserve">McCrea, Michael, Thomas Hammeke, Gary Olsen, Peter Leo, and Kevin Guskiewicz. 2004.</w:t>
      </w:r>
      <w:r>
        <w:t xml:space="preserve"> </w:t>
      </w:r>
      <w:r>
        <w:t xml:space="preserve">“Unreported Concussion in High School Football Players:</w:t>
      </w:r>
      <w:r>
        <w:t xml:space="preserve"> </w:t>
      </w:r>
      <w:r>
        <w:t xml:space="preserve">I</w:t>
      </w:r>
      <w:r>
        <w:t xml:space="preserve">mplications for Prevention.”</w:t>
      </w:r>
      <w:r>
        <w:t xml:space="preserve"> </w:t>
      </w:r>
      <w:r>
        <w:rPr>
          <w:iCs/>
          <w:i/>
        </w:rPr>
        <w:t xml:space="preserve">Clinical Journal of Sport Medicine</w:t>
      </w:r>
      <w:r>
        <w:t xml:space="preserve"> </w:t>
      </w:r>
      <w:r>
        <w:t xml:space="preserve">14 (1): 13–17.</w:t>
      </w:r>
      <w:r>
        <w:t xml:space="preserve"> </w:t>
      </w:r>
      <w:hyperlink r:id="rId161">
        <w:r>
          <w:rPr>
            <w:rStyle w:val="Hyperlink"/>
          </w:rPr>
          <w:t xml:space="preserve">https://doi.org/10.1097/00042752-200401000-00003</w:t>
        </w:r>
      </w:hyperlink>
      <w:r>
        <w:t xml:space="preserve">.</w:t>
      </w:r>
    </w:p>
    <w:bookmarkEnd w:id="162"/>
    <w:bookmarkStart w:id="164" w:name="ref-mcdonald2022eye"/>
    <w:p>
      <w:pPr>
        <w:pStyle w:val="Bibliography"/>
      </w:pPr>
      <w:r>
        <w:t xml:space="preserve">McDonald, Matthew A, Samantha J Holdsworth, and Helen V Danesh-Meyer. 2022.</w:t>
      </w:r>
      <w:r>
        <w:t xml:space="preserve"> </w:t>
      </w:r>
      <w:r>
        <w:t xml:space="preserve">“Eye Movements in Mild Traumatic Brain Injury:</w:t>
      </w:r>
      <w:r>
        <w:t xml:space="preserve"> </w:t>
      </w:r>
      <w:r>
        <w:t xml:space="preserve">O</w:t>
      </w:r>
      <w:r>
        <w:t xml:space="preserve">cular Biomarkers.”</w:t>
      </w:r>
      <w:r>
        <w:t xml:space="preserve"> </w:t>
      </w:r>
      <w:r>
        <w:rPr>
          <w:iCs/>
          <w:i/>
        </w:rPr>
        <w:t xml:space="preserve">Journal of Eye Movement Research</w:t>
      </w:r>
      <w:r>
        <w:t xml:space="preserve"> </w:t>
      </w:r>
      <w:r>
        <w:t xml:space="preserve">15 (2).</w:t>
      </w:r>
      <w:r>
        <w:t xml:space="preserve"> </w:t>
      </w:r>
      <w:hyperlink r:id="rId163">
        <w:r>
          <w:rPr>
            <w:rStyle w:val="Hyperlink"/>
          </w:rPr>
          <w:t xml:space="preserve">https://doi.org/10.16910/jemr.15.2.4</w:t>
        </w:r>
      </w:hyperlink>
      <w:r>
        <w:t xml:space="preserve">.</w:t>
      </w:r>
    </w:p>
    <w:bookmarkEnd w:id="164"/>
    <w:bookmarkStart w:id="166" w:name="ref-meier2015underreporting"/>
    <w:p>
      <w:pPr>
        <w:pStyle w:val="Bibliography"/>
      </w:pPr>
      <w:r>
        <w:t xml:space="preserve">Meier, Timothy B, Bradley J Brummel, Rashmi Singh, Christopher J Nerio, David W Polanski, and Patrick S F Bellgowan. 2015.</w:t>
      </w:r>
      <w:r>
        <w:t xml:space="preserve"> </w:t>
      </w:r>
      <w:r>
        <w:t xml:space="preserve">“The Underreporting of Self-Reported Symptoms Following Sports-Related Concussion.”</w:t>
      </w:r>
      <w:r>
        <w:t xml:space="preserve"> </w:t>
      </w:r>
      <w:r>
        <w:rPr>
          <w:iCs/>
          <w:i/>
        </w:rPr>
        <w:t xml:space="preserve">Journal of Science and Medicine in Sport</w:t>
      </w:r>
      <w:r>
        <w:t xml:space="preserve"> </w:t>
      </w:r>
      <w:r>
        <w:t xml:space="preserve">18 (5): 507–11.</w:t>
      </w:r>
      <w:r>
        <w:t xml:space="preserve"> </w:t>
      </w:r>
      <w:hyperlink r:id="rId165">
        <w:r>
          <w:rPr>
            <w:rStyle w:val="Hyperlink"/>
          </w:rPr>
          <w:t xml:space="preserve">https://doi.org/10.1016/j.jsams.2014.07.008</w:t>
        </w:r>
      </w:hyperlink>
      <w:r>
        <w:t xml:space="preserve">.</w:t>
      </w:r>
    </w:p>
    <w:bookmarkEnd w:id="166"/>
    <w:bookmarkStart w:id="168" w:name="ref-mortaheb2021ppcs"/>
    <w:p>
      <w:pPr>
        <w:pStyle w:val="Bibliography"/>
      </w:pPr>
      <w:r>
        <w:t xml:space="preserve">Mortaheb, S, M M Filippini, J-F Kaux, J Annen, N Lejeune, G Martens, M A Fuentes Calderón, S Laureys, and A Thibaut. 2021.</w:t>
      </w:r>
      <w:r>
        <w:t xml:space="preserve"> </w:t>
      </w:r>
      <w:r>
        <w:t xml:space="preserve">“Neurophysiological Biomarkers of Persistent Post-Concussive Symptoms:</w:t>
      </w:r>
      <w:r>
        <w:t xml:space="preserve"> </w:t>
      </w:r>
      <w:r>
        <w:t xml:space="preserve">A</w:t>
      </w:r>
      <w:r>
        <w:t xml:space="preserve"> </w:t>
      </w:r>
      <w:r>
        <w:t xml:space="preserve">Scoping Review.”</w:t>
      </w:r>
      <w:r>
        <w:t xml:space="preserve"> </w:t>
      </w:r>
      <w:r>
        <w:rPr>
          <w:iCs/>
          <w:i/>
        </w:rPr>
        <w:t xml:space="preserve">Frontiers in Neurology</w:t>
      </w:r>
      <w:r>
        <w:t xml:space="preserve"> </w:t>
      </w:r>
      <w:r>
        <w:t xml:space="preserve">12: 687197.</w:t>
      </w:r>
      <w:r>
        <w:t xml:space="preserve"> </w:t>
      </w:r>
      <w:hyperlink r:id="rId167">
        <w:r>
          <w:rPr>
            <w:rStyle w:val="Hyperlink"/>
          </w:rPr>
          <w:t xml:space="preserve">https://doi.org/10.3389/fneur.2021.687197</w:t>
        </w:r>
      </w:hyperlink>
      <w:r>
        <w:t xml:space="preserve">.</w:t>
      </w:r>
    </w:p>
    <w:bookmarkEnd w:id="168"/>
    <w:bookmarkStart w:id="170" w:name="ref-mucha2014voms"/>
    <w:p>
      <w:pPr>
        <w:pStyle w:val="Bibliography"/>
      </w:pPr>
      <w:r>
        <w:t xml:space="preserve">Mucha, Anne, Michael W Collins, R J Elbin, Joseph M Furman, Cara Troutman-Enseki, Richelle M DeWolf, Greg Marchetti, and Anthony P Kontos. 2014.</w:t>
      </w:r>
      <w:r>
        <w:t xml:space="preserve"> </w:t>
      </w:r>
      <w:r>
        <w:t xml:space="preserve">“A Brief Vestibular/Ocular Motor Screening (</w:t>
      </w:r>
      <w:r>
        <w:t xml:space="preserve">VOMS</w:t>
      </w:r>
      <w:r>
        <w:t xml:space="preserve">) Assessment to Evaluate Concussions:</w:t>
      </w:r>
      <w:r>
        <w:t xml:space="preserve"> </w:t>
      </w:r>
      <w:r>
        <w:t xml:space="preserve">P</w:t>
      </w:r>
      <w:r>
        <w:t xml:space="preserve">reliminary Findings.”</w:t>
      </w:r>
      <w:r>
        <w:t xml:space="preserve"> </w:t>
      </w:r>
      <w:r>
        <w:rPr>
          <w:iCs/>
          <w:i/>
        </w:rPr>
        <w:t xml:space="preserve">The American Journal of Sports Medicine</w:t>
      </w:r>
      <w:r>
        <w:t xml:space="preserve"> </w:t>
      </w:r>
      <w:r>
        <w:t xml:space="preserve">42 (10): 2479–86.</w:t>
      </w:r>
      <w:r>
        <w:t xml:space="preserve"> </w:t>
      </w:r>
      <w:hyperlink r:id="rId169">
        <w:r>
          <w:rPr>
            <w:rStyle w:val="Hyperlink"/>
          </w:rPr>
          <w:t xml:space="preserve">https://doi.org/10.1177/0363546514543775</w:t>
        </w:r>
      </w:hyperlink>
      <w:r>
        <w:t xml:space="preserve">.</w:t>
      </w:r>
    </w:p>
    <w:bookmarkEnd w:id="170"/>
    <w:bookmarkStart w:id="172" w:name="ref-murray2019smooth"/>
    <w:p>
      <w:pPr>
        <w:pStyle w:val="Bibliography"/>
      </w:pPr>
      <w:r>
        <w:t xml:space="preserve">Murray, Nathan P, Melissa Hunfalvay, and Taylor Bolte. 2019.</w:t>
      </w:r>
      <w:r>
        <w:t xml:space="preserve"> </w:t>
      </w:r>
      <w:r>
        <w:t xml:space="preserve">“Oculomotor Performance in Sport-Related Concussion:</w:t>
      </w:r>
      <w:r>
        <w:t xml:space="preserve"> </w:t>
      </w:r>
      <w:r>
        <w:t xml:space="preserve">P</w:t>
      </w:r>
      <w:r>
        <w:t xml:space="preserve">ositive Clinical Outcome Measures Require Averaging Across Multiple Testing Sessions.”</w:t>
      </w:r>
      <w:r>
        <w:t xml:space="preserve"> </w:t>
      </w:r>
      <w:r>
        <w:rPr>
          <w:iCs/>
          <w:i/>
        </w:rPr>
        <w:t xml:space="preserve">Journal of Neurotrauma</w:t>
      </w:r>
      <w:r>
        <w:t xml:space="preserve"> </w:t>
      </w:r>
      <w:r>
        <w:t xml:space="preserve">36 (20): 2883–90.</w:t>
      </w:r>
      <w:r>
        <w:t xml:space="preserve"> </w:t>
      </w:r>
      <w:hyperlink r:id="rId171">
        <w:r>
          <w:rPr>
            <w:rStyle w:val="Hyperlink"/>
          </w:rPr>
          <w:t xml:space="preserve">https://doi.org/10.1089/neu.2018.6349</w:t>
        </w:r>
      </w:hyperlink>
      <w:r>
        <w:t xml:space="preserve">.</w:t>
      </w:r>
    </w:p>
    <w:bookmarkEnd w:id="172"/>
    <w:bookmarkStart w:id="174" w:name="ref-nelson2013diagnostic"/>
    <w:p>
      <w:pPr>
        <w:pStyle w:val="Bibliography"/>
      </w:pPr>
      <w:r>
        <w:t xml:space="preserve">Nelson, Lindsay D, Jacqueline K Janecek, and Michael A McCrea. 2013.</w:t>
      </w:r>
      <w:r>
        <w:t xml:space="preserve"> </w:t>
      </w:r>
      <w:r>
        <w:t xml:space="preserve">“Diagnostic Accuracy Studies in Mild Traumatic Brain Injury:</w:t>
      </w:r>
      <w:r>
        <w:t xml:space="preserve"> </w:t>
      </w:r>
      <w:r>
        <w:t xml:space="preserve">A</w:t>
      </w:r>
      <w:r>
        <w:t xml:space="preserve"> </w:t>
      </w:r>
      <w:r>
        <w:t xml:space="preserve">Systematic Review and Descriptive Analysis of Published Evidence.”</w:t>
      </w:r>
      <w:r>
        <w:t xml:space="preserve"> </w:t>
      </w:r>
      <w:r>
        <w:rPr>
          <w:iCs/>
          <w:i/>
        </w:rPr>
        <w:t xml:space="preserve">Journal of Neurotrauma</w:t>
      </w:r>
      <w:r>
        <w:t xml:space="preserve"> </w:t>
      </w:r>
      <w:r>
        <w:t xml:space="preserve">30 (24): 2014–25.</w:t>
      </w:r>
      <w:r>
        <w:t xml:space="preserve"> </w:t>
      </w:r>
      <w:hyperlink r:id="rId173">
        <w:r>
          <w:rPr>
            <w:rStyle w:val="Hyperlink"/>
          </w:rPr>
          <w:t xml:space="preserve">https://doi.org/10.1089/neu.2013.2856</w:t>
        </w:r>
      </w:hyperlink>
      <w:r>
        <w:t xml:space="preserve">.</w:t>
      </w:r>
    </w:p>
    <w:bookmarkEnd w:id="174"/>
    <w:bookmarkStart w:id="176" w:name="ref-olson2016interrater"/>
    <w:p>
      <w:pPr>
        <w:pStyle w:val="Bibliography"/>
      </w:pPr>
      <w:r>
        <w:t xml:space="preserve">Olson, DaiWai M, Sonja Stutzman, Ciji Saju, Margaret Wilson, Weidan Zhao, and Venkatesh Aiyagari. 2016.</w:t>
      </w:r>
      <w:r>
        <w:t xml:space="preserve"> </w:t>
      </w:r>
      <w:r>
        <w:t xml:space="preserve">“Interrater Reliability of Pupillary Assessments.”</w:t>
      </w:r>
      <w:r>
        <w:t xml:space="preserve"> </w:t>
      </w:r>
      <w:r>
        <w:rPr>
          <w:iCs/>
          <w:i/>
        </w:rPr>
        <w:t xml:space="preserve">Neurocritical Care</w:t>
      </w:r>
      <w:r>
        <w:t xml:space="preserve"> </w:t>
      </w:r>
      <w:r>
        <w:t xml:space="preserve">24 (2): 251–57.</w:t>
      </w:r>
      <w:r>
        <w:t xml:space="preserve"> </w:t>
      </w:r>
      <w:hyperlink r:id="rId175">
        <w:r>
          <w:rPr>
            <w:rStyle w:val="Hyperlink"/>
          </w:rPr>
          <w:t xml:space="preserve">https://doi.org/10.1007/s12028-015-0182-1</w:t>
        </w:r>
      </w:hyperlink>
      <w:r>
        <w:t xml:space="preserve">.</w:t>
      </w:r>
    </w:p>
    <w:bookmarkEnd w:id="176"/>
    <w:bookmarkStart w:id="178" w:name="ref-palacios2022dti"/>
    <w:p>
      <w:pPr>
        <w:pStyle w:val="Bibliography"/>
      </w:pPr>
      <w:r>
        <w:t xml:space="preserve">Palacios, Eva M, Esther L Yuh, Christine L Mac Donald, Ioanna Bourla, Jamie Wren-Jarvis, Xiaoying Sun, Mary J Vassar, et al. 2022.</w:t>
      </w:r>
      <w:r>
        <w:t xml:space="preserve"> </w:t>
      </w:r>
      <w:r>
        <w:t xml:space="preserve">“Diffusion Tensor Imaging Reveals Elevated Diffusivity of White Matter Microstructure That Is Independently Associated with Long-Term Outcome After Mild Traumatic Brain Injury: A</w:t>
      </w:r>
      <w:r>
        <w:t xml:space="preserve"> </w:t>
      </w:r>
      <w:r>
        <w:t xml:space="preserve">TRACK-TBI</w:t>
      </w:r>
      <w:r>
        <w:t xml:space="preserve"> </w:t>
      </w:r>
      <w:r>
        <w:t xml:space="preserve">Study.”</w:t>
      </w:r>
      <w:r>
        <w:t xml:space="preserve"> </w:t>
      </w:r>
      <w:r>
        <w:rPr>
          <w:iCs/>
          <w:i/>
        </w:rPr>
        <w:t xml:space="preserve">Journal of Neurotrauma</w:t>
      </w:r>
      <w:r>
        <w:t xml:space="preserve"> </w:t>
      </w:r>
      <w:r>
        <w:t xml:space="preserve">39 (19-20): 1318–28.</w:t>
      </w:r>
      <w:r>
        <w:t xml:space="preserve"> </w:t>
      </w:r>
      <w:hyperlink r:id="rId177">
        <w:r>
          <w:rPr>
            <w:rStyle w:val="Hyperlink"/>
          </w:rPr>
          <w:t xml:space="preserve">https://doi.org/10.1089/neu.2021.0408</w:t>
        </w:r>
      </w:hyperlink>
      <w:r>
        <w:t xml:space="preserve">.</w:t>
      </w:r>
    </w:p>
    <w:bookmarkEnd w:id="178"/>
    <w:bookmarkStart w:id="180" w:name="ref-pearce2015npc"/>
    <w:p>
      <w:pPr>
        <w:pStyle w:val="Bibliography"/>
      </w:pPr>
      <w:r>
        <w:t xml:space="preserve">Pearce, K L, A Sufrinko, B C Lau, L Henry, M W Collins, and A P Kontos. 2015.</w:t>
      </w:r>
      <w:r>
        <w:t xml:space="preserve"> </w:t>
      </w:r>
      <w:r>
        <w:t xml:space="preserve">“Near Point of Convergence After a Sport-Related Concussion:</w:t>
      </w:r>
      <w:r>
        <w:t xml:space="preserve"> </w:t>
      </w:r>
      <w:r>
        <w:t xml:space="preserve">M</w:t>
      </w:r>
      <w:r>
        <w:t xml:space="preserve">easurement Reliability and Relationship to Neurocognitive Impairment and Symptoms.”</w:t>
      </w:r>
      <w:r>
        <w:t xml:space="preserve"> </w:t>
      </w:r>
      <w:r>
        <w:rPr>
          <w:iCs/>
          <w:i/>
        </w:rPr>
        <w:t xml:space="preserve">The American Journal of Sports Medicine</w:t>
      </w:r>
      <w:r>
        <w:t xml:space="preserve"> </w:t>
      </w:r>
      <w:r>
        <w:t xml:space="preserve">43 (12): 3055–61.</w:t>
      </w:r>
      <w:r>
        <w:t xml:space="preserve"> </w:t>
      </w:r>
      <w:hyperlink r:id="rId179">
        <w:r>
          <w:rPr>
            <w:rStyle w:val="Hyperlink"/>
          </w:rPr>
          <w:t xml:space="preserve">https://doi.org/10.1177/0363546515606430</w:t>
        </w:r>
      </w:hyperlink>
      <w:r>
        <w:t xml:space="preserve">.</w:t>
      </w:r>
    </w:p>
    <w:bookmarkEnd w:id="180"/>
    <w:bookmarkStart w:id="182" w:name="ref-ppcs_statpearls"/>
    <w:p>
      <w:pPr>
        <w:pStyle w:val="Bibliography"/>
      </w:pPr>
      <w:r>
        <w:t xml:space="preserve">Permenter, Cara M, Ricardo J Fernández-de Thomas, and Andrew L Sherman. 2024.</w:t>
      </w:r>
      <w:r>
        <w:t xml:space="preserve"> </w:t>
      </w:r>
      <w:r>
        <w:t xml:space="preserve">“Postconcussive Syndrome.”</w:t>
      </w:r>
      <w:r>
        <w:t xml:space="preserve"> </w:t>
      </w:r>
      <w:r>
        <w:t xml:space="preserve">In</w:t>
      </w:r>
      <w:r>
        <w:t xml:space="preserve"> </w:t>
      </w:r>
      <w:r>
        <w:rPr>
          <w:iCs/>
          <w:i/>
        </w:rPr>
        <w:t xml:space="preserve">StatPearls</w:t>
      </w:r>
      <w:r>
        <w:t xml:space="preserve">. Treasure Island, FL: StatPearls Publishing.</w:t>
      </w:r>
      <w:r>
        <w:t xml:space="preserve"> </w:t>
      </w:r>
      <w:hyperlink r:id="rId181">
        <w:r>
          <w:rPr>
            <w:rStyle w:val="Hyperlink"/>
          </w:rPr>
          <w:t xml:space="preserve">https://www.ncbi.nlm.nih.gov/books/NBK534786/</w:t>
        </w:r>
      </w:hyperlink>
      <w:r>
        <w:t xml:space="preserve">.</w:t>
      </w:r>
    </w:p>
    <w:bookmarkEnd w:id="182"/>
    <w:bookmarkStart w:id="184" w:name="ref-peterson2019surveillance"/>
    <w:p>
      <w:pPr>
        <w:pStyle w:val="Bibliography"/>
      </w:pPr>
      <w:r>
        <w:t xml:space="preserve">Peterson, Alexis B, Likang Xu, Jill Daugherty, and Matthew J Breiding. 2019.</w:t>
      </w:r>
      <w:r>
        <w:t xml:space="preserve"> </w:t>
      </w:r>
      <w:r>
        <w:t xml:space="preserve">“Surveillance Report of Traumatic Brain Injury-Related Emergency Department Visits, Hospitalizations, and Deaths—</w:t>
      </w:r>
      <w:r>
        <w:t xml:space="preserve">U</w:t>
      </w:r>
      <w:r>
        <w:t xml:space="preserve">nited</w:t>
      </w:r>
      <w:r>
        <w:t xml:space="preserve"> </w:t>
      </w:r>
      <w:r>
        <w:t xml:space="preserve">S</w:t>
      </w:r>
      <w:r>
        <w:t xml:space="preserve">tates, 2014.”</w:t>
      </w:r>
      <w:r>
        <w:t xml:space="preserve"> </w:t>
      </w:r>
      <w:r>
        <w:t xml:space="preserve">Atlanta, GA: Centers for Disease Control; Prevention, National Center for Injury Prevention; Control.</w:t>
      </w:r>
      <w:r>
        <w:t xml:space="preserve"> </w:t>
      </w:r>
      <w:hyperlink r:id="rId183">
        <w:r>
          <w:rPr>
            <w:rStyle w:val="Hyperlink"/>
          </w:rPr>
          <w:t xml:space="preserve">https://www.cdc.gov/traumaticbraininjury/pdf/TBI-Surveillance-Report-FINAL_508.pdf</w:t>
        </w:r>
      </w:hyperlink>
      <w:r>
        <w:t xml:space="preserve">.</w:t>
      </w:r>
    </w:p>
    <w:bookmarkEnd w:id="184"/>
    <w:bookmarkStart w:id="186" w:name="ref-registermihalik2013knowledge"/>
    <w:p>
      <w:pPr>
        <w:pStyle w:val="Bibliography"/>
      </w:pPr>
      <w:r>
        <w:t xml:space="preserve">Register-Mihalik, Johna K, Kevin M Guskiewicz, Tamara C Valovich McLeod, Laura A Linnan, Frederick O Mueller, and Stephen W Marshall. 2013.</w:t>
      </w:r>
      <w:r>
        <w:t xml:space="preserve"> </w:t>
      </w:r>
      <w:r>
        <w:t xml:space="preserve">“Knowledge, Attitude, and Concussion-Reporting Behaviors Among High School Athletes:</w:t>
      </w:r>
      <w:r>
        <w:t xml:space="preserve"> </w:t>
      </w:r>
      <w:r>
        <w:t xml:space="preserve">A</w:t>
      </w:r>
      <w:r>
        <w:t xml:space="preserve"> </w:t>
      </w:r>
      <w:r>
        <w:t xml:space="preserve">Preliminary Study.”</w:t>
      </w:r>
      <w:r>
        <w:t xml:space="preserve"> </w:t>
      </w:r>
      <w:r>
        <w:rPr>
          <w:iCs/>
          <w:i/>
        </w:rPr>
        <w:t xml:space="preserve">Journal of Athletic Training</w:t>
      </w:r>
      <w:r>
        <w:t xml:space="preserve"> </w:t>
      </w:r>
      <w:r>
        <w:t xml:space="preserve">48 (5): 645–53.</w:t>
      </w:r>
      <w:r>
        <w:t xml:space="preserve"> </w:t>
      </w:r>
      <w:hyperlink r:id="rId185">
        <w:r>
          <w:rPr>
            <w:rStyle w:val="Hyperlink"/>
          </w:rPr>
          <w:t xml:space="preserve">https://doi.org/10.4085/1062-6050-48.3.20</w:t>
        </w:r>
      </w:hyperlink>
      <w:r>
        <w:t xml:space="preserve">.</w:t>
      </w:r>
    </w:p>
    <w:bookmarkEnd w:id="186"/>
    <w:bookmarkStart w:id="188" w:name="ref-searle2016vergence"/>
    <w:p>
      <w:pPr>
        <w:pStyle w:val="Bibliography"/>
      </w:pPr>
      <w:r>
        <w:t xml:space="preserve">Searle, Annabelle, and Fiona J Rowe. 2016.</w:t>
      </w:r>
      <w:r>
        <w:t xml:space="preserve"> </w:t>
      </w:r>
      <w:r>
        <w:t xml:space="preserve">“Vergence Neural Pathways:</w:t>
      </w:r>
      <w:r>
        <w:t xml:space="preserve"> </w:t>
      </w:r>
      <w:r>
        <w:t xml:space="preserve">A</w:t>
      </w:r>
      <w:r>
        <w:t xml:space="preserve"> </w:t>
      </w:r>
      <w:r>
        <w:t xml:space="preserve">Systematic Narrative Literature Review.”</w:t>
      </w:r>
      <w:r>
        <w:t xml:space="preserve"> </w:t>
      </w:r>
      <w:r>
        <w:rPr>
          <w:iCs/>
          <w:i/>
        </w:rPr>
        <w:t xml:space="preserve">Neuroophthalmology</w:t>
      </w:r>
      <w:r>
        <w:t xml:space="preserve"> </w:t>
      </w:r>
      <w:r>
        <w:t xml:space="preserve">40 (5): 209–18.</w:t>
      </w:r>
      <w:r>
        <w:t xml:space="preserve"> </w:t>
      </w:r>
      <w:hyperlink r:id="rId187">
        <w:r>
          <w:rPr>
            <w:rStyle w:val="Hyperlink"/>
          </w:rPr>
          <w:t xml:space="preserve">https://doi.org/10.1080/01658107.2016.1217028</w:t>
        </w:r>
      </w:hyperlink>
      <w:r>
        <w:t xml:space="preserve">.</w:t>
      </w:r>
    </w:p>
    <w:bookmarkEnd w:id="188"/>
    <w:bookmarkStart w:id="190" w:name="ref-silverberg2023acrm"/>
    <w:p>
      <w:pPr>
        <w:pStyle w:val="Bibliography"/>
      </w:pPr>
      <w:r>
        <w:t xml:space="preserve">Silverberg, Noah D, Grant L Iverson, Alison Cogan, Kristen Dams-O’Connor, Richard Delmonico, Min Jeong P Graf, Mary Alexis Iaccarino, et al. 2023.</w:t>
      </w:r>
      <w:r>
        <w:t xml:space="preserve"> </w:t>
      </w:r>
      <w:r>
        <w:t xml:space="preserve">“The</w:t>
      </w:r>
      <w:r>
        <w:t xml:space="preserve"> </w:t>
      </w:r>
      <w:r>
        <w:t xml:space="preserve">American Congress of Rehabilitation Medicine</w:t>
      </w:r>
      <w:r>
        <w:t xml:space="preserve"> </w:t>
      </w:r>
      <w:r>
        <w:t xml:space="preserve">Diagnostic Criteria for Mild Traumatic Brain Injury.”</w:t>
      </w:r>
      <w:r>
        <w:t xml:space="preserve"> </w:t>
      </w:r>
      <w:r>
        <w:rPr>
          <w:iCs/>
          <w:i/>
        </w:rPr>
        <w:t xml:space="preserve">Archives of Physical Medicine and Rehabilitation</w:t>
      </w:r>
      <w:r>
        <w:t xml:space="preserve"> </w:t>
      </w:r>
      <w:r>
        <w:t xml:space="preserve">104 (8): 1343–55.</w:t>
      </w:r>
      <w:r>
        <w:t xml:space="preserve"> </w:t>
      </w:r>
      <w:hyperlink r:id="rId189">
        <w:r>
          <w:rPr>
            <w:rStyle w:val="Hyperlink"/>
          </w:rPr>
          <w:t xml:space="preserve">https://doi.org/10.1016/j.apmr.2023.03.036</w:t>
        </w:r>
      </w:hyperlink>
      <w:r>
        <w:t xml:space="preserve">.</w:t>
      </w:r>
    </w:p>
    <w:bookmarkEnd w:id="190"/>
    <w:bookmarkStart w:id="192" w:name="ref-stiell2001ct"/>
    <w:p>
      <w:pPr>
        <w:pStyle w:val="Bibliography"/>
      </w:pPr>
      <w:r>
        <w:t xml:space="preserve">Stiell, Ian G, George A Wells, K Vandemheen, C Clement, H Lesiuk, A Laupacis, R D McKnight, et al. 2001.</w:t>
      </w:r>
      <w:r>
        <w:t xml:space="preserve"> </w:t>
      </w:r>
      <w:r>
        <w:t xml:space="preserve">“The</w:t>
      </w:r>
      <w:r>
        <w:t xml:space="preserve"> </w:t>
      </w:r>
      <w:r>
        <w:t xml:space="preserve">Canadian CT Head Rule</w:t>
      </w:r>
      <w:r>
        <w:t xml:space="preserve"> </w:t>
      </w:r>
      <w:r>
        <w:t xml:space="preserve">for Patients with Minor Head Injury.”</w:t>
      </w:r>
      <w:r>
        <w:t xml:space="preserve"> </w:t>
      </w:r>
      <w:r>
        <w:rPr>
          <w:iCs/>
          <w:i/>
        </w:rPr>
        <w:t xml:space="preserve">The Lancet</w:t>
      </w:r>
      <w:r>
        <w:t xml:space="preserve"> </w:t>
      </w:r>
      <w:r>
        <w:t xml:space="preserve">357 (9266): 1391–96.</w:t>
      </w:r>
      <w:r>
        <w:t xml:space="preserve"> </w:t>
      </w:r>
      <w:hyperlink r:id="rId191">
        <w:r>
          <w:rPr>
            <w:rStyle w:val="Hyperlink"/>
          </w:rPr>
          <w:t xml:space="preserve">https://doi.org/10.1016/S0140-6736(00)04561-X</w:t>
        </w:r>
      </w:hyperlink>
      <w:r>
        <w:t xml:space="preserve">.</w:t>
      </w:r>
    </w:p>
    <w:bookmarkEnd w:id="192"/>
    <w:bookmarkStart w:id="194" w:name="ref-stubbs2018working"/>
    <w:p>
      <w:pPr>
        <w:pStyle w:val="Bibliography"/>
      </w:pPr>
      <w:r>
        <w:t xml:space="preserve">Stubbs, Joseph L, Shannon L Corrow, Victoria K Soher, Jun Maruta, Noah Reisman, and Jamshid Ghajar. 2018.</w:t>
      </w:r>
      <w:r>
        <w:t xml:space="preserve"> </w:t>
      </w:r>
      <w:r>
        <w:t xml:space="preserve">“Working Memory Load Affects Oculomotor Performance in Mild Traumatic Brain Injury Patients with Protracted Recovery.”</w:t>
      </w:r>
      <w:r>
        <w:t xml:space="preserve"> </w:t>
      </w:r>
      <w:r>
        <w:rPr>
          <w:iCs/>
          <w:i/>
        </w:rPr>
        <w:t xml:space="preserve">Scientific Reports</w:t>
      </w:r>
      <w:r>
        <w:t xml:space="preserve"> </w:t>
      </w:r>
      <w:r>
        <w:t xml:space="preserve">8: 17421.</w:t>
      </w:r>
      <w:r>
        <w:t xml:space="preserve"> </w:t>
      </w:r>
      <w:hyperlink r:id="rId193">
        <w:r>
          <w:rPr>
            <w:rStyle w:val="Hyperlink"/>
          </w:rPr>
          <w:t xml:space="preserve">https://doi.org/10.1038/s41598-018-36286-3</w:t>
        </w:r>
      </w:hyperlink>
      <w:r>
        <w:t xml:space="preserve">.</w:t>
      </w:r>
    </w:p>
    <w:bookmarkEnd w:id="194"/>
    <w:bookmarkStart w:id="196" w:name="ref-fda2018banyan"/>
    <w:p>
      <w:pPr>
        <w:pStyle w:val="Bibliography"/>
      </w:pPr>
      <w:r>
        <w:t xml:space="preserve">U.S. Food and Drug Administration. 2018.</w:t>
      </w:r>
      <w:r>
        <w:t xml:space="preserve"> </w:t>
      </w:r>
      <w:r>
        <w:t xml:space="preserve">“</w:t>
      </w:r>
      <w:r>
        <w:t xml:space="preserve">FDA</w:t>
      </w:r>
      <w:r>
        <w:t xml:space="preserve"> </w:t>
      </w:r>
      <w:r>
        <w:t xml:space="preserve">Authorizes Marketing of First Blood Test to Aid in the Evaluation of Concussion in Adults.”</w:t>
      </w:r>
      <w:r>
        <w:t xml:space="preserve"> </w:t>
      </w:r>
      <w:hyperlink r:id="rId195">
        <w:r>
          <w:rPr>
            <w:rStyle w:val="Hyperlink"/>
          </w:rPr>
          <w:t xml:space="preserve">https://www.fda.gov/news-events/press-announcements/fda-authorizes-marketing-first-blood-test-aid-evaluation-concussion-adults</w:t>
        </w:r>
      </w:hyperlink>
      <w:r>
        <w:t xml:space="preserve">.</w:t>
      </w:r>
    </w:p>
    <w:bookmarkEnd w:id="196"/>
    <w:bookmarkStart w:id="198" w:name="ref-sis_statpearls"/>
    <w:p>
      <w:pPr>
        <w:pStyle w:val="Bibliography"/>
      </w:pPr>
      <w:r>
        <w:t xml:space="preserve">Weinstein, Elana, Maya Turner, Brian B Kuzma, and Harvey Feuer. 2024.</w:t>
      </w:r>
      <w:r>
        <w:t xml:space="preserve"> </w:t>
      </w:r>
      <w:r>
        <w:t xml:space="preserve">“Second Impact Syndrome.”</w:t>
      </w:r>
      <w:r>
        <w:t xml:space="preserve"> </w:t>
      </w:r>
      <w:r>
        <w:t xml:space="preserve">In</w:t>
      </w:r>
      <w:r>
        <w:t xml:space="preserve"> </w:t>
      </w:r>
      <w:r>
        <w:rPr>
          <w:iCs/>
          <w:i/>
        </w:rPr>
        <w:t xml:space="preserve">StatPearls</w:t>
      </w:r>
      <w:r>
        <w:t xml:space="preserve">. Treasure Island, FL: StatPearls Publishing.</w:t>
      </w:r>
      <w:r>
        <w:t xml:space="preserve"> </w:t>
      </w:r>
      <w:hyperlink r:id="rId197">
        <w:r>
          <w:rPr>
            <w:rStyle w:val="Hyperlink"/>
          </w:rPr>
          <w:t xml:space="preserve">https://www.ncbi.nlm.nih.gov/books/NBK448119/</w:t>
        </w:r>
      </w:hyperlink>
      <w:r>
        <w:t xml:space="preserve">.</w:t>
      </w:r>
    </w:p>
    <w:bookmarkEnd w:id="198"/>
    <w:bookmarkStart w:id="200" w:name="ref-wiecek2021vergence"/>
    <w:p>
      <w:pPr>
        <w:pStyle w:val="Bibliography"/>
      </w:pPr>
      <w:r>
        <w:t xml:space="preserve">Wiecek, Evan, Richard Lam, Elizabeth Bencic, and Timothy E Hudson. 2021.</w:t>
      </w:r>
      <w:r>
        <w:t xml:space="preserve"> </w:t>
      </w:r>
      <w:r>
        <w:t xml:space="preserve">“Vergence and Accommodation Deficits in Patients with Chronic Mild Traumatic Brain Injury.”</w:t>
      </w:r>
      <w:r>
        <w:t xml:space="preserve"> </w:t>
      </w:r>
      <w:r>
        <w:rPr>
          <w:iCs/>
          <w:i/>
        </w:rPr>
        <w:t xml:space="preserve">Vision Research</w:t>
      </w:r>
      <w:r>
        <w:t xml:space="preserve"> </w:t>
      </w:r>
      <w:r>
        <w:t xml:space="preserve">178: 87–97.</w:t>
      </w:r>
      <w:r>
        <w:t xml:space="preserve"> </w:t>
      </w:r>
      <w:hyperlink r:id="rId199">
        <w:r>
          <w:rPr>
            <w:rStyle w:val="Hyperlink"/>
          </w:rPr>
          <w:t xml:space="preserve">https://doi.org/10.1016/j.visres.2020.10.001</w:t>
        </w:r>
      </w:hyperlink>
      <w:r>
        <w:t xml:space="preserve">.</w:t>
      </w:r>
    </w:p>
    <w:bookmarkEnd w:id="200"/>
    <w:bookmarkStart w:id="202" w:name="ref-yaramothu2019vergence"/>
    <w:p>
      <w:pPr>
        <w:pStyle w:val="Bibliography"/>
      </w:pPr>
      <w:r>
        <w:t xml:space="preserve">Yaramothu, Chirag, Alison M Goodman, and Tara L Alvarez. 2019.</w:t>
      </w:r>
      <w:r>
        <w:t xml:space="preserve"> </w:t>
      </w:r>
      <w:r>
        <w:t xml:space="preserve">“Vergence Endurance Test:</w:t>
      </w:r>
      <w:r>
        <w:t xml:space="preserve"> </w:t>
      </w:r>
      <w:r>
        <w:t xml:space="preserve">A</w:t>
      </w:r>
      <w:r>
        <w:t xml:space="preserve"> </w:t>
      </w:r>
      <w:r>
        <w:t xml:space="preserve">Pilot Study for a Concussion Biomarker.”</w:t>
      </w:r>
      <w:r>
        <w:t xml:space="preserve"> </w:t>
      </w:r>
      <w:r>
        <w:rPr>
          <w:iCs/>
          <w:i/>
        </w:rPr>
        <w:t xml:space="preserve">Journal of Neurotrauma</w:t>
      </w:r>
      <w:r>
        <w:t xml:space="preserve"> </w:t>
      </w:r>
      <w:r>
        <w:t xml:space="preserve">36 (14): 2200–2212.</w:t>
      </w:r>
      <w:r>
        <w:t xml:space="preserve"> </w:t>
      </w:r>
      <w:hyperlink r:id="rId201">
        <w:r>
          <w:rPr>
            <w:rStyle w:val="Hyperlink"/>
          </w:rPr>
          <w:t xml:space="preserve">https://doi.org/10.1089/neu.2018.6077</w:t>
        </w:r>
      </w:hyperlink>
      <w:r>
        <w:t xml:space="preserve">.</w:t>
      </w:r>
    </w:p>
    <w:bookmarkEnd w:id="202"/>
    <w:bookmarkStart w:id="204" w:name="ref-yuh2013mri"/>
    <w:p>
      <w:pPr>
        <w:pStyle w:val="Bibliography"/>
      </w:pPr>
      <w:r>
        <w:t xml:space="preserve">Yuh, Esther L, Pratik Mukherjee, Hester F Lingsma, John K Yue, Adam R Ferguson, Wayne A Gordon, Alex B Valadka, et al. 2013.</w:t>
      </w:r>
      <w:r>
        <w:t xml:space="preserve"> </w:t>
      </w:r>
      <w:r>
        <w:t xml:space="preserve">“Magnetic Resonance Imaging Improves 3-Month Outcome Prediction in Mild Traumatic Brain Injury.”</w:t>
      </w:r>
      <w:r>
        <w:t xml:space="preserve"> </w:t>
      </w:r>
      <w:r>
        <w:rPr>
          <w:iCs/>
          <w:i/>
        </w:rPr>
        <w:t xml:space="preserve">Annals of Neurology</w:t>
      </w:r>
      <w:r>
        <w:t xml:space="preserve"> </w:t>
      </w:r>
      <w:r>
        <w:t xml:space="preserve">73 (2): 224–35.</w:t>
      </w:r>
      <w:r>
        <w:t xml:space="preserve"> </w:t>
      </w:r>
      <w:hyperlink r:id="rId203">
        <w:r>
          <w:rPr>
            <w:rStyle w:val="Hyperlink"/>
          </w:rPr>
          <w:t xml:space="preserve">https://doi.org/10.1002/ana.23783</w:t>
        </w:r>
      </w:hyperlink>
      <w:r>
        <w:t xml:space="preserve">.</w:t>
      </w:r>
    </w:p>
    <w:bookmarkEnd w:id="204"/>
    <w:bookmarkEnd w:id="205"/>
    <w:bookmarkEnd w:id="206"/>
    <w:bookmarkEnd w:id="20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43">
    <w:p>
      <w:pPr>
        <w:pStyle w:val="FootnoteText"/>
      </w:pPr>
      <w:r>
        <w:rPr>
          <w:rStyle w:val="FootnoteReference"/>
        </w:rPr>
        <w:footnoteRef/>
      </w:r>
      <w:r>
        <w:t xml:space="preserve"> </w:t>
      </w:r>
      <w:r>
        <w:t xml:space="preserve">Source: Social Science &amp; Medicine (2015) DOI: 10.1016/j.socscimed.2015.04.004</w:t>
      </w:r>
    </w:p>
  </w:footnote>
  <w:footnote w:id="44">
    <w:p>
      <w:pPr>
        <w:pStyle w:val="FootnoteText"/>
      </w:pPr>
      <w:r>
        <w:rPr>
          <w:rStyle w:val="FootnoteReference"/>
        </w:rPr>
        <w:footnoteRef/>
      </w:r>
      <w:r>
        <w:t xml:space="preserve"> </w:t>
      </w:r>
      <w:r>
        <w:t xml:space="preserve">UK Parliament Committees</w:t>
      </w:r>
    </w:p>
  </w:footnote>
  <w:footnote w:id="45">
    <w:p>
      <w:pPr>
        <w:pStyle w:val="FootnoteText"/>
      </w:pPr>
      <w:r>
        <w:rPr>
          <w:rStyle w:val="FootnoteReference"/>
        </w:rPr>
        <w:footnoteRef/>
      </w:r>
      <w:r>
        <w:t xml:space="preserve"> </w:t>
      </w:r>
      <w:r>
        <w:t xml:space="preserve">NHS Oxfordshire pilot; see summaries on PMC/ResearchGate</w:t>
      </w:r>
    </w:p>
  </w:footnote>
  <w:footnote w:id="47">
    <w:p>
      <w:pPr>
        <w:pStyle w:val="FootnoteText"/>
      </w:pPr>
      <w:r>
        <w:rPr>
          <w:rStyle w:val="FootnoteReference"/>
        </w:rPr>
        <w:footnoteRef/>
      </w:r>
      <w:r>
        <w:t xml:space="preserve"> </w:t>
      </w:r>
      <w:r>
        <w:t xml:space="preserve">Sports Medicine Open (2025) DOI: 10.1186/s40798-025-00819-8</w:t>
      </w:r>
    </w:p>
  </w:footnote>
  <w:footnote w:id="49">
    <w:p>
      <w:pPr>
        <w:pStyle w:val="FootnoteText"/>
      </w:pPr>
      <w:r>
        <w:rPr>
          <w:rStyle w:val="FootnoteReference"/>
        </w:rPr>
        <w:footnoteRef/>
      </w:r>
      <w:r>
        <w:t xml:space="preserve"> </w:t>
      </w:r>
      <w:r>
        <w:t xml:space="preserve">BrightLamp:</w:t>
      </w:r>
      <w:r>
        <w:t xml:space="preserve"> </w:t>
      </w:r>
      <w:hyperlink r:id="rId50">
        <w:r>
          <w:rPr>
            <w:rStyle w:val="Hyperlink"/>
          </w:rPr>
          <w:t xml:space="preserve">https://brightlamp.org</w:t>
        </w:r>
      </w:hyperlink>
    </w:p>
  </w:footnote>
  <w:footnote w:id="53">
    <w:p>
      <w:pPr>
        <w:pStyle w:val="FootnoteText"/>
      </w:pPr>
      <w:r>
        <w:rPr>
          <w:rStyle w:val="FootnoteReference"/>
        </w:rPr>
        <w:footnoteRef/>
      </w:r>
      <w:r>
        <w:t xml:space="preserve"> </w:t>
      </w:r>
      <w:r>
        <w:t xml:space="preserve">SyncThink:</w:t>
      </w:r>
      <w:r>
        <w:t xml:space="preserve"> </w:t>
      </w:r>
      <w:hyperlink r:id="rId54">
        <w:r>
          <w:rPr>
            <w:rStyle w:val="Hyperlink"/>
          </w:rPr>
          <w:t xml:space="preserve">https://syncthink.com</w:t>
        </w:r>
      </w:hyperlink>
    </w:p>
  </w:footnote>
  <w:footnote w:id="56">
    <w:p>
      <w:pPr>
        <w:pStyle w:val="FootnoteText"/>
      </w:pPr>
      <w:r>
        <w:rPr>
          <w:rStyle w:val="FootnoteReference"/>
        </w:rPr>
        <w:footnoteRef/>
      </w:r>
      <w:r>
        <w:t xml:space="preserve"> </w:t>
      </w:r>
      <w:r>
        <w:t xml:space="preserve">Oculogica:</w:t>
      </w:r>
      <w:r>
        <w:t xml:space="preserve"> </w:t>
      </w:r>
      <w:hyperlink r:id="rId57">
        <w:r>
          <w:rPr>
            <w:rStyle w:val="Hyperlink"/>
          </w:rPr>
          <w:t xml:space="preserve">https://www.oculogica.com</w:t>
        </w:r>
      </w:hyperlink>
    </w:p>
  </w:footnote>
  <w:footnote w:id="59">
    <w:p>
      <w:pPr>
        <w:pStyle w:val="FootnoteText"/>
      </w:pPr>
      <w:r>
        <w:rPr>
          <w:rStyle w:val="FootnoteReference"/>
        </w:rPr>
        <w:footnoteRef/>
      </w:r>
      <w:r>
        <w:t xml:space="preserve"> </w:t>
      </w:r>
      <w:r>
        <w:t xml:space="preserve">World Rugby smart mouthguard initiative</w:t>
      </w:r>
    </w:p>
  </w:footnote>
  <w:footnote w:id="61">
    <w:p>
      <w:pPr>
        <w:pStyle w:val="FootnoteText"/>
      </w:pPr>
      <w:r>
        <w:rPr>
          <w:rStyle w:val="FootnoteReference"/>
        </w:rPr>
        <w:footnoteRef/>
      </w:r>
      <w:r>
        <w:t xml:space="preserve"> </w:t>
      </w:r>
      <w:r>
        <w:t xml:space="preserve">HeadCheck Health:</w:t>
      </w:r>
      <w:r>
        <w:t xml:space="preserve"> </w:t>
      </w:r>
      <w:hyperlink r:id="rId62">
        <w:r>
          <w:rPr>
            <w:rStyle w:val="Hyperlink"/>
          </w:rPr>
          <w:t xml:space="preserve">https://www.headcheckhealth.com</w:t>
        </w:r>
      </w:hyperlink>
    </w:p>
  </w:footnote>
  <w:footnote w:id="65">
    <w:p>
      <w:pPr>
        <w:pStyle w:val="FootnoteText"/>
      </w:pPr>
      <w:r>
        <w:rPr>
          <w:rStyle w:val="FootnoteReference"/>
        </w:rPr>
        <w:footnoteRef/>
      </w:r>
      <w:r>
        <w:t xml:space="preserve"> </w:t>
      </w:r>
      <w:r>
        <w:t xml:space="preserve">PMC, ResearchGate</w:t>
      </w:r>
    </w:p>
  </w:footnote>
  <w:footnote w:id="66">
    <w:p>
      <w:pPr>
        <w:pStyle w:val="FootnoteText"/>
      </w:pPr>
      <w:r>
        <w:rPr>
          <w:rStyle w:val="FootnoteReference"/>
        </w:rPr>
        <w:footnoteRef/>
      </w:r>
      <w:r>
        <w:t xml:space="preserve"> </w:t>
      </w:r>
      <w:r>
        <w:t xml:space="preserve">CDC</w:t>
      </w:r>
    </w:p>
  </w:footnote>
  <w:footnote w:id="69">
    <w:p>
      <w:pPr>
        <w:pStyle w:val="FootnoteText"/>
      </w:pPr>
      <w:r>
        <w:rPr>
          <w:rStyle w:val="FootnoteReference"/>
        </w:rPr>
        <w:footnoteRef/>
      </w:r>
      <w:r>
        <w:t xml:space="preserve"> </w:t>
      </w:r>
      <w:r>
        <w:t xml:space="preserve">GOV.UK; Regulatory knowledge for medical devices</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0" Target="https://brightlamp.org" TargetMode="External" /><Relationship Type="http://schemas.openxmlformats.org/officeDocument/2006/relationships/hyperlink" Id="rId157" Target="https://doi.org/10.1001/jamaophthalmol.2020.3466" TargetMode="External" /><Relationship Type="http://schemas.openxmlformats.org/officeDocument/2006/relationships/hyperlink" Id="rId203" Target="https://doi.org/10.1002/ana.23783" TargetMode="External" /><Relationship Type="http://schemas.openxmlformats.org/officeDocument/2006/relationships/hyperlink" Id="rId127" Target="https://doi.org/10.1007/s00701-020-04594-1" TargetMode="External" /><Relationship Type="http://schemas.openxmlformats.org/officeDocument/2006/relationships/hyperlink" Id="rId175" Target="https://doi.org/10.1007/s12028-015-0182-1" TargetMode="External" /><Relationship Type="http://schemas.openxmlformats.org/officeDocument/2006/relationships/hyperlink" Id="rId191" Target="https://doi.org/10.1016/S0140-6736(00)04561-X" TargetMode="External" /><Relationship Type="http://schemas.openxmlformats.org/officeDocument/2006/relationships/hyperlink" Id="rId123" Target="https://doi.org/10.1016/S1474-4422(18)30231-X" TargetMode="External" /><Relationship Type="http://schemas.openxmlformats.org/officeDocument/2006/relationships/hyperlink" Id="rId189" Target="https://doi.org/10.1016/j.apmr.2023.03.036" TargetMode="External" /><Relationship Type="http://schemas.openxmlformats.org/officeDocument/2006/relationships/hyperlink" Id="rId149" Target="https://doi.org/10.1016/j.expneurol.2012.01.013" TargetMode="External" /><Relationship Type="http://schemas.openxmlformats.org/officeDocument/2006/relationships/hyperlink" Id="rId165" Target="https://doi.org/10.1016/j.jsams.2014.07.008" TargetMode="External" /><Relationship Type="http://schemas.openxmlformats.org/officeDocument/2006/relationships/hyperlink" Id="rId199" Target="https://doi.org/10.1016/j.visres.2020.10.001" TargetMode="External" /><Relationship Type="http://schemas.openxmlformats.org/officeDocument/2006/relationships/hyperlink" Id="rId193" Target="https://doi.org/10.1038/s41598-018-36286-3" TargetMode="External" /><Relationship Type="http://schemas.openxmlformats.org/officeDocument/2006/relationships/hyperlink" Id="rId143" Target="https://doi.org/10.1056/NEJM200007133430204" TargetMode="External" /><Relationship Type="http://schemas.openxmlformats.org/officeDocument/2006/relationships/hyperlink" Id="rId187" Target="https://doi.org/10.1080/01658107.2016.1217028" TargetMode="External" /><Relationship Type="http://schemas.openxmlformats.org/officeDocument/2006/relationships/hyperlink" Id="rId147" Target="https://doi.org/10.1080/02699052.2021.2012825" TargetMode="External" /><Relationship Type="http://schemas.openxmlformats.org/officeDocument/2006/relationships/hyperlink" Id="rId129" Target="https://doi.org/10.1080/16501960410023732" TargetMode="External" /><Relationship Type="http://schemas.openxmlformats.org/officeDocument/2006/relationships/hyperlink" Id="rId173" Target="https://doi.org/10.1089/neu.2013.2856" TargetMode="External" /><Relationship Type="http://schemas.openxmlformats.org/officeDocument/2006/relationships/hyperlink" Id="rId201" Target="https://doi.org/10.1089/neu.2018.6077" TargetMode="External" /><Relationship Type="http://schemas.openxmlformats.org/officeDocument/2006/relationships/hyperlink" Id="rId171" Target="https://doi.org/10.1089/neu.2018.6349" TargetMode="External" /><Relationship Type="http://schemas.openxmlformats.org/officeDocument/2006/relationships/hyperlink" Id="rId177" Target="https://doi.org/10.1089/neu.2021.0408" TargetMode="External" /><Relationship Type="http://schemas.openxmlformats.org/officeDocument/2006/relationships/hyperlink" Id="rId161" Target="https://doi.org/10.1097/00042752-200401000-00003" TargetMode="External" /><Relationship Type="http://schemas.openxmlformats.org/officeDocument/2006/relationships/hyperlink" Id="rId151" Target="https://doi.org/10.1097/HTR.0000000000000437" TargetMode="External" /><Relationship Type="http://schemas.openxmlformats.org/officeDocument/2006/relationships/hyperlink" Id="rId145" Target="https://doi.org/10.1126/sciadv.aau3460" TargetMode="External" /><Relationship Type="http://schemas.openxmlformats.org/officeDocument/2006/relationships/hyperlink" Id="rId141" Target="https://doi.org/10.1136/bjsports-2023-107033" TargetMode="External" /><Relationship Type="http://schemas.openxmlformats.org/officeDocument/2006/relationships/hyperlink" Id="rId139" Target="https://doi.org/10.1136/bjsports-2023-107071" TargetMode="External" /><Relationship Type="http://schemas.openxmlformats.org/officeDocument/2006/relationships/hyperlink" Id="rId169" Target="https://doi.org/10.1177/0363546514543775" TargetMode="External" /><Relationship Type="http://schemas.openxmlformats.org/officeDocument/2006/relationships/hyperlink" Id="rId179" Target="https://doi.org/10.1177/0363546515606430" TargetMode="External" /><Relationship Type="http://schemas.openxmlformats.org/officeDocument/2006/relationships/hyperlink" Id="rId137" Target="https://doi.org/10.1177/0363546517705640" TargetMode="External" /><Relationship Type="http://schemas.openxmlformats.org/officeDocument/2006/relationships/hyperlink" Id="rId133" Target="https://doi.org/10.1186/s12245-024-00747-6" TargetMode="External" /><Relationship Type="http://schemas.openxmlformats.org/officeDocument/2006/relationships/hyperlink" Id="rId153" Target="https://doi.org/10.1602/neurorx.2.2.372" TargetMode="External" /><Relationship Type="http://schemas.openxmlformats.org/officeDocument/2006/relationships/hyperlink" Id="rId163" Target="https://doi.org/10.16910/jemr.15.2.4" TargetMode="External" /><Relationship Type="http://schemas.openxmlformats.org/officeDocument/2006/relationships/hyperlink" Id="rId131" Target="https://doi.org/10.2217/cnc-2016-0029" TargetMode="External" /><Relationship Type="http://schemas.openxmlformats.org/officeDocument/2006/relationships/hyperlink" Id="rId135" Target="https://doi.org/10.3171/2017.10.JNS17352" TargetMode="External" /><Relationship Type="http://schemas.openxmlformats.org/officeDocument/2006/relationships/hyperlink" Id="rId155" Target="https://doi.org/10.3389/fneur.2019.00518" TargetMode="External" /><Relationship Type="http://schemas.openxmlformats.org/officeDocument/2006/relationships/hyperlink" Id="rId125" Target="https://doi.org/10.3389/fneur.2021.685313" TargetMode="External" /><Relationship Type="http://schemas.openxmlformats.org/officeDocument/2006/relationships/hyperlink" Id="rId167" Target="https://doi.org/10.3389/fneur.2021.687197" TargetMode="External" /><Relationship Type="http://schemas.openxmlformats.org/officeDocument/2006/relationships/hyperlink" Id="rId159" Target="https://doi.org/10.3390/diagnostics14232723" TargetMode="External" /><Relationship Type="http://schemas.openxmlformats.org/officeDocument/2006/relationships/hyperlink" Id="rId185" Target="https://doi.org/10.4085/1062-6050-48.3.20" TargetMode="External" /><Relationship Type="http://schemas.openxmlformats.org/officeDocument/2006/relationships/hyperlink" Id="rId54" Target="https://syncthink.com" TargetMode="External" /><Relationship Type="http://schemas.openxmlformats.org/officeDocument/2006/relationships/hyperlink" Id="rId183" Target="https://www.cdc.gov/traumaticbraininjury/pdf/TBI-Surveillance-Report-FINAL_508.pdf" TargetMode="External" /><Relationship Type="http://schemas.openxmlformats.org/officeDocument/2006/relationships/hyperlink" Id="rId195" Target="https://www.fda.gov/news-events/press-announcements/fda-authorizes-marketing-first-blood-test-aid-evaluation-concussion-adults" TargetMode="External" /><Relationship Type="http://schemas.openxmlformats.org/officeDocument/2006/relationships/hyperlink" Id="rId62" Target="https://www.headcheckhealth.com" TargetMode="External" /><Relationship Type="http://schemas.openxmlformats.org/officeDocument/2006/relationships/hyperlink" Id="rId197" Target="https://www.ncbi.nlm.nih.gov/books/NBK448119/" TargetMode="External" /><Relationship Type="http://schemas.openxmlformats.org/officeDocument/2006/relationships/hyperlink" Id="rId181" Target="https://www.ncbi.nlm.nih.gov/books/NBK534786/" TargetMode="External" /><Relationship Type="http://schemas.openxmlformats.org/officeDocument/2006/relationships/hyperlink" Id="rId57" Target="https://www.oculogica.com" TargetMode="External" /></Relationships>
</file>

<file path=word/_rels/footnotes.xml.rels><?xml version="1.0" encoding="UTF-8"?><Relationships xmlns="http://schemas.openxmlformats.org/package/2006/relationships"><Relationship Type="http://schemas.openxmlformats.org/officeDocument/2006/relationships/hyperlink" Id="rId50" Target="https://brightlamp.org" TargetMode="External" /><Relationship Type="http://schemas.openxmlformats.org/officeDocument/2006/relationships/hyperlink" Id="rId157" Target="https://doi.org/10.1001/jamaophthalmol.2020.3466" TargetMode="External" /><Relationship Type="http://schemas.openxmlformats.org/officeDocument/2006/relationships/hyperlink" Id="rId203" Target="https://doi.org/10.1002/ana.23783" TargetMode="External" /><Relationship Type="http://schemas.openxmlformats.org/officeDocument/2006/relationships/hyperlink" Id="rId127" Target="https://doi.org/10.1007/s00701-020-04594-1" TargetMode="External" /><Relationship Type="http://schemas.openxmlformats.org/officeDocument/2006/relationships/hyperlink" Id="rId175" Target="https://doi.org/10.1007/s12028-015-0182-1" TargetMode="External" /><Relationship Type="http://schemas.openxmlformats.org/officeDocument/2006/relationships/hyperlink" Id="rId191" Target="https://doi.org/10.1016/S0140-6736(00)04561-X" TargetMode="External" /><Relationship Type="http://schemas.openxmlformats.org/officeDocument/2006/relationships/hyperlink" Id="rId123" Target="https://doi.org/10.1016/S1474-4422(18)30231-X" TargetMode="External" /><Relationship Type="http://schemas.openxmlformats.org/officeDocument/2006/relationships/hyperlink" Id="rId189" Target="https://doi.org/10.1016/j.apmr.2023.03.036" TargetMode="External" /><Relationship Type="http://schemas.openxmlformats.org/officeDocument/2006/relationships/hyperlink" Id="rId149" Target="https://doi.org/10.1016/j.expneurol.2012.01.013" TargetMode="External" /><Relationship Type="http://schemas.openxmlformats.org/officeDocument/2006/relationships/hyperlink" Id="rId165" Target="https://doi.org/10.1016/j.jsams.2014.07.008" TargetMode="External" /><Relationship Type="http://schemas.openxmlformats.org/officeDocument/2006/relationships/hyperlink" Id="rId199" Target="https://doi.org/10.1016/j.visres.2020.10.001" TargetMode="External" /><Relationship Type="http://schemas.openxmlformats.org/officeDocument/2006/relationships/hyperlink" Id="rId193" Target="https://doi.org/10.1038/s41598-018-36286-3" TargetMode="External" /><Relationship Type="http://schemas.openxmlformats.org/officeDocument/2006/relationships/hyperlink" Id="rId143" Target="https://doi.org/10.1056/NEJM200007133430204" TargetMode="External" /><Relationship Type="http://schemas.openxmlformats.org/officeDocument/2006/relationships/hyperlink" Id="rId187" Target="https://doi.org/10.1080/01658107.2016.1217028" TargetMode="External" /><Relationship Type="http://schemas.openxmlformats.org/officeDocument/2006/relationships/hyperlink" Id="rId147" Target="https://doi.org/10.1080/02699052.2021.2012825" TargetMode="External" /><Relationship Type="http://schemas.openxmlformats.org/officeDocument/2006/relationships/hyperlink" Id="rId129" Target="https://doi.org/10.1080/16501960410023732" TargetMode="External" /><Relationship Type="http://schemas.openxmlformats.org/officeDocument/2006/relationships/hyperlink" Id="rId173" Target="https://doi.org/10.1089/neu.2013.2856" TargetMode="External" /><Relationship Type="http://schemas.openxmlformats.org/officeDocument/2006/relationships/hyperlink" Id="rId201" Target="https://doi.org/10.1089/neu.2018.6077" TargetMode="External" /><Relationship Type="http://schemas.openxmlformats.org/officeDocument/2006/relationships/hyperlink" Id="rId171" Target="https://doi.org/10.1089/neu.2018.6349" TargetMode="External" /><Relationship Type="http://schemas.openxmlformats.org/officeDocument/2006/relationships/hyperlink" Id="rId177" Target="https://doi.org/10.1089/neu.2021.0408" TargetMode="External" /><Relationship Type="http://schemas.openxmlformats.org/officeDocument/2006/relationships/hyperlink" Id="rId161" Target="https://doi.org/10.1097/00042752-200401000-00003" TargetMode="External" /><Relationship Type="http://schemas.openxmlformats.org/officeDocument/2006/relationships/hyperlink" Id="rId151" Target="https://doi.org/10.1097/HTR.0000000000000437" TargetMode="External" /><Relationship Type="http://schemas.openxmlformats.org/officeDocument/2006/relationships/hyperlink" Id="rId145" Target="https://doi.org/10.1126/sciadv.aau3460" TargetMode="External" /><Relationship Type="http://schemas.openxmlformats.org/officeDocument/2006/relationships/hyperlink" Id="rId141" Target="https://doi.org/10.1136/bjsports-2023-107033" TargetMode="External" /><Relationship Type="http://schemas.openxmlformats.org/officeDocument/2006/relationships/hyperlink" Id="rId139" Target="https://doi.org/10.1136/bjsports-2023-107071" TargetMode="External" /><Relationship Type="http://schemas.openxmlformats.org/officeDocument/2006/relationships/hyperlink" Id="rId169" Target="https://doi.org/10.1177/0363546514543775" TargetMode="External" /><Relationship Type="http://schemas.openxmlformats.org/officeDocument/2006/relationships/hyperlink" Id="rId179" Target="https://doi.org/10.1177/0363546515606430" TargetMode="External" /><Relationship Type="http://schemas.openxmlformats.org/officeDocument/2006/relationships/hyperlink" Id="rId137" Target="https://doi.org/10.1177/0363546517705640" TargetMode="External" /><Relationship Type="http://schemas.openxmlformats.org/officeDocument/2006/relationships/hyperlink" Id="rId133" Target="https://doi.org/10.1186/s12245-024-00747-6" TargetMode="External" /><Relationship Type="http://schemas.openxmlformats.org/officeDocument/2006/relationships/hyperlink" Id="rId153" Target="https://doi.org/10.1602/neurorx.2.2.372" TargetMode="External" /><Relationship Type="http://schemas.openxmlformats.org/officeDocument/2006/relationships/hyperlink" Id="rId163" Target="https://doi.org/10.16910/jemr.15.2.4" TargetMode="External" /><Relationship Type="http://schemas.openxmlformats.org/officeDocument/2006/relationships/hyperlink" Id="rId131" Target="https://doi.org/10.2217/cnc-2016-0029" TargetMode="External" /><Relationship Type="http://schemas.openxmlformats.org/officeDocument/2006/relationships/hyperlink" Id="rId135" Target="https://doi.org/10.3171/2017.10.JNS17352" TargetMode="External" /><Relationship Type="http://schemas.openxmlformats.org/officeDocument/2006/relationships/hyperlink" Id="rId155" Target="https://doi.org/10.3389/fneur.2019.00518" TargetMode="External" /><Relationship Type="http://schemas.openxmlformats.org/officeDocument/2006/relationships/hyperlink" Id="rId125" Target="https://doi.org/10.3389/fneur.2021.685313" TargetMode="External" /><Relationship Type="http://schemas.openxmlformats.org/officeDocument/2006/relationships/hyperlink" Id="rId167" Target="https://doi.org/10.3389/fneur.2021.687197" TargetMode="External" /><Relationship Type="http://schemas.openxmlformats.org/officeDocument/2006/relationships/hyperlink" Id="rId159" Target="https://doi.org/10.3390/diagnostics14232723" TargetMode="External" /><Relationship Type="http://schemas.openxmlformats.org/officeDocument/2006/relationships/hyperlink" Id="rId185" Target="https://doi.org/10.4085/1062-6050-48.3.20" TargetMode="External" /><Relationship Type="http://schemas.openxmlformats.org/officeDocument/2006/relationships/hyperlink" Id="rId54" Target="https://syncthink.com" TargetMode="External" /><Relationship Type="http://schemas.openxmlformats.org/officeDocument/2006/relationships/hyperlink" Id="rId183" Target="https://www.cdc.gov/traumaticbraininjury/pdf/TBI-Surveillance-Report-FINAL_508.pdf" TargetMode="External" /><Relationship Type="http://schemas.openxmlformats.org/officeDocument/2006/relationships/hyperlink" Id="rId195" Target="https://www.fda.gov/news-events/press-announcements/fda-authorizes-marketing-first-blood-test-aid-evaluation-concussion-adults" TargetMode="External" /><Relationship Type="http://schemas.openxmlformats.org/officeDocument/2006/relationships/hyperlink" Id="rId62" Target="https://www.headcheckhealth.com" TargetMode="External" /><Relationship Type="http://schemas.openxmlformats.org/officeDocument/2006/relationships/hyperlink" Id="rId197" Target="https://www.ncbi.nlm.nih.gov/books/NBK448119/" TargetMode="External" /><Relationship Type="http://schemas.openxmlformats.org/officeDocument/2006/relationships/hyperlink" Id="rId181" Target="https://www.ncbi.nlm.nih.gov/books/NBK534786/" TargetMode="External" /><Relationship Type="http://schemas.openxmlformats.org/officeDocument/2006/relationships/hyperlink" Id="rId57" Target="https://www.oculogica.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Smartphone-Based mTBI Screening Tool Using Pupillometry</dc:title>
  <dc:creator>Suleiman Mahmood, Victor Moreno, Eesh Mishra, Rahul Marchand (Equal contribution)</dc:creator>
  <cp:keywords/>
  <dcterms:created xsi:type="dcterms:W3CDTF">2025-11-10T14:52:22Z</dcterms:created>
  <dcterms:modified xsi:type="dcterms:W3CDTF">2025-11-10T14:52:22Z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date">
    <vt:lpwstr>Trinity Term, 2026</vt:lpwstr>
  </property>
</Properties>
</file>