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52"/>
        </w:rPr>
        <w:t>Meeting Minutes — New Initiative</w:t>
      </w:r>
    </w:p>
    <w:p>
      <w:r>
        <w:rPr>
          <w:i/>
          <w:color w:val="595959"/>
          <w:sz w:val="22"/>
        </w:rPr>
        <w:t>Meeting Minutes  |  Prepared August 09, 2026</w:t>
      </w:r>
    </w:p>
    <w:p>
      <w:pPr>
        <w:pBdr>
          <w:bottom w:val="single" w:sz="8" w:space="1" w:color="1F4E79"/>
        </w:pBdr>
      </w:pPr>
    </w:p>
    <w:p>
      <w:r>
        <w:rPr>
          <w:b/>
          <w:color w:val="595959"/>
          <w:sz w:val="20"/>
        </w:rPr>
        <w:t>Note — assumptions made by the agent:</w:t>
      </w:r>
    </w:p>
    <w:p>
      <w:pPr>
        <w:pStyle w:val="ListBullet"/>
      </w:pPr>
      <w:r>
        <w:rPr>
          <w:color w:val="595959"/>
          <w:sz w:val="20"/>
        </w:rPr>
        <w:t>No company, client, or project name was given, so mock placeholder names and figures were used throughout the document.</w:t>
      </w:r>
    </w:p>
    <w:p>
      <w:pPr>
        <w:pStyle w:val="ListBullet"/>
      </w:pPr>
      <w:r>
        <w:rPr>
          <w:color w:val="595959"/>
          <w:sz w:val="20"/>
        </w:rPr>
        <w:t>The request did not fully specify scope, audience, or tone, so reasonable business-standard defaults were used for this document type instead of blocking on a clarifying question.</w:t>
      </w:r>
    </w:p>
    <w:p/>
    <w:p>
      <w:pPr>
        <w:pStyle w:val="Heading1"/>
      </w:pPr>
      <w:r>
        <w:rPr>
          <w:color w:val="1F4E79"/>
        </w:rPr>
        <w:t>Meeting Overview</w:t>
      </w:r>
    </w:p>
    <w:p>
      <w:pPr>
        <w:spacing w:after="200"/>
      </w:pPr>
      <w:r>
        <w:t>This meeting covered progress and next steps related to the client. Notes below summarize discussion points, decisions, and owners.</w:t>
      </w:r>
    </w:p>
    <w:p>
      <w:pPr>
        <w:pStyle w:val="Heading1"/>
      </w:pPr>
      <w:r>
        <w:rPr>
          <w:color w:val="1F4E79"/>
        </w:rPr>
        <w:t>Attendees</w:t>
      </w:r>
    </w:p>
    <w:p>
      <w:pPr>
        <w:spacing w:after="200"/>
      </w:pPr>
      <w:r>
        <w:t>Project Sponsor, Project Lead, Engineering Lead, Design Lead, Client Stakeholder.</w:t>
      </w:r>
    </w:p>
    <w:p>
      <w:pPr>
        <w:pStyle w:val="Heading1"/>
      </w:pPr>
      <w:r>
        <w:rPr>
          <w:color w:val="1F4E79"/>
        </w:rPr>
        <w:t>Agenda</w:t>
      </w:r>
    </w:p>
    <w:p>
      <w:pPr>
        <w:spacing w:after="200"/>
      </w:pPr>
      <w:r>
        <w:t>1) Status update. 2) Open risks. 3) Decisions needed. 4) Action items and owners.</w:t>
      </w:r>
    </w:p>
    <w:p>
      <w:pPr>
        <w:pStyle w:val="Heading1"/>
      </w:pPr>
      <w:r>
        <w:rPr>
          <w:color w:val="1F4E79"/>
        </w:rPr>
        <w:t>Discussion Summary</w:t>
      </w:r>
    </w:p>
    <w:p>
      <w:pPr>
        <w:spacing w:after="200"/>
      </w:pPr>
      <w:r>
        <w:t>The team reviewed progress against the plan, flagged two open risks around timeline and resourcing, and discussed mitigation options.</w:t>
      </w:r>
    </w:p>
    <w:p>
      <w:pPr>
        <w:pStyle w:val="Heading1"/>
      </w:pPr>
      <w:r>
        <w:rPr>
          <w:color w:val="1F4E79"/>
        </w:rPr>
        <w:t>Decisions Made</w:t>
      </w:r>
    </w:p>
    <w:p>
      <w:pPr>
        <w:spacing w:after="200"/>
      </w:pPr>
      <w:r>
        <w:t>The team agreed to proceed with the proposed approach and revisit the timeline at the next checkpoint if blockers remain.</w:t>
      </w:r>
    </w:p>
    <w:p>
      <w:pPr>
        <w:pStyle w:val="Heading1"/>
      </w:pPr>
      <w:r>
        <w:rPr>
          <w:color w:val="1F4E79"/>
        </w:rPr>
        <w:t>Action Items</w:t>
      </w:r>
    </w:p>
    <w:p>
      <w:pPr>
        <w:spacing w:after="200"/>
      </w:pPr>
      <w:r>
        <w:t>Owner: Project Lead — finalize scope by September 23, 2026. Owner: Engineering Lead — confirm resource availability by next week.</w:t>
      </w:r>
    </w:p>
    <w:p>
      <w:pPr>
        <w:pStyle w:val="Heading1"/>
      </w:pPr>
      <w:r>
        <w:rPr>
          <w:color w:val="1F4E79"/>
        </w:rPr>
        <w:t>Next Meeting</w:t>
      </w:r>
    </w:p>
    <w:p>
      <w:pPr>
        <w:spacing w:after="200"/>
      </w:pPr>
      <w:r>
        <w:t>To be scheduled one week from this meeting, pending calendar availability.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Generated automatically by the Autonomous Document 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