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DAP Wallet Infrastructure – Architecture Review &amp; Recommendations (Draft v0.1)</w:t>
      </w:r>
    </w:p>
    <w:p>
      <w:pPr/>
      <w:r>
        <w:t xml:space="preserve">Oct 7, 2026</w:t>
      </w:r>
      <w:r>
        <w:t xml:space="preserve"> · </w:t>
      </w:r>
      <w:r>
        <w:t xml:space="preserve">@Rahul Pandey</w:t>
      </w:r>
    </w:p>
    <w:p>
      <w:pPr>
        <w:pStyle w:val="Heading2"/>
      </w:pPr>
      <w:r>
        <w:t xml:space="preserve">Purpose and scope</w:t>
      </w:r>
    </w:p>
    <w:p>
      <w:pPr/>
      <w:r>
        <w:t xml:space="preserve">The DAP design is directionally strong; the biggest gains now come from consolidating policy enforcement, binding intent to signed bytes, abstracting the custody vendor, and hardening the event/ledger path before scaling to more BUs, chains and agentic clients.</w:t>
      </w:r>
    </w:p>
    <w:p>
      <w:pPr/>
      <w:r>
        <w:t xml:space="preserve">This is an initial draft for discussion, based on the </w:t>
      </w:r>
      <w:r>
        <w:rPr>
          <w:i/>
        </w:rPr>
        <w:t xml:space="preserve">DAP Overall Architecture</w:t>
      </w:r>
      <w:r>
        <w:t xml:space="preserve"> Confluence page (last updated Sep 25). It covers: my reading of the design, what it gets right, 15 findings with recommendations, a target-state architecture, and a question list for the team. Findings are framed as hypotheses to validate, not conclusions.</w:t>
      </w:r>
    </w:p>
    <w:p>
      <w:pPr/>
      <w:r>
        <w:rPr>
          <w:b/>
        </w:rPr>
        <w:t xml:space="preserve">Interpretation note — "MCP wallets".</w:t>
      </w:r>
      <w:r>
        <w:t xml:space="preserve"> The term is used two ways in the industry, and both matter here: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MPC wallets</w:t>
      </w:r>
      <w:r>
        <w:t xml:space="preserve"> (multi-party computation): keys split into shares, signed via threshold protocols. DAP already uses this via Fireblocks MPC-CMP workspaces and an MS-hosted API Co-Signer. Covered in the MPC deep-dive.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MCP wallets</w:t>
      </w:r>
      <w:r>
        <w:t xml:space="preserve"> (Model Context Protocol): AI agents reaching wallet capabilities through MCP tool servers. Not in the current design; covered as a proposed access layer.</w:t>
      </w:r>
    </w:p>
    <w:p>
      <w:pPr/>
      <w:r>
        <w:t xml:space="preserve">If the team means only one, the other section can be dropped.</w:t>
      </w:r>
    </w:p>
    <w:p>
      <w:pPr>
        <w:pStyle w:val="Heading2"/>
      </w:pPr>
      <w:r>
        <w:t xml:space="preserve">My understanding of the current design</w:t>
      </w:r>
    </w:p>
    <w:p>
      <w:pPr/>
      <w:r>
        <w:t xml:space="preserve">DAP is a multi-tenant custody and on-chain execution platform: BUs (WM, ISG, IM) call a blockchain-agnostic API, Core DA Services translate business intent into blockchain-aware calls, and a sharded Base Platform drives Fireblocks MPC signing onto EVM, Solana and Canton.</w:t>
      </w:r>
    </w:p>
    <w:p>
      <w:pPr>
        <w:pStyle w:val="Heading3"/>
      </w:pPr>
      <w:r>
        <w:t xml:space="preserve">Layers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Layer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Components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Contract it exposes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BU DAMO (WM / ISG / IM)</w:t>
            </w:r>
          </w:p>
        </w:tc>
        <w:tc>
          <w:tcPr>
            <w:tcW w:w="3120" w:type="dxa"/>
          </w:tcPr>
          <w:p>
            <w:pPr/>
            <w:r>
              <w:t xml:space="preserve">Middle office: client mgmt, funding, trade execution/settlement, P&amp;L</w:t>
            </w:r>
          </w:p>
        </w:tc>
        <w:tc>
          <w:tcPr>
            <w:tcW w:w="3120" w:type="dxa"/>
          </w:tcPr>
          <w:p>
            <w:pPr/>
            <w:r>
              <w:t xml:space="preserve">Calls DAP with acct/asset, token spec, mint/burn/transfer; receives status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Core DA Services</w:t>
            </w:r>
          </w:p>
        </w:tc>
        <w:tc>
          <w:tcPr>
            <w:tcW w:w="3120" w:type="dxa"/>
          </w:tcPr>
          <w:p>
            <w:pPr/>
            <w:r>
              <w:t xml:space="preserve">Tokenization, On-chain Settlement, Staking, Lending, Borrowing, Trading, X-Region</w:t>
            </w:r>
          </w:p>
        </w:tc>
        <w:tc>
          <w:tcPr>
            <w:tcW w:w="3120" w:type="dxa"/>
          </w:tcPr>
          <w:p>
            <w:pPr/>
            <w:r>
              <w:rPr>
                <w:b/>
              </w:rPr>
              <w:t xml:space="preserve">Blockchain-agnostic API</w:t>
            </w:r>
            <w:r>
              <w:t xml:space="preserve"> upward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Base Platform (per shard)</w:t>
            </w:r>
          </w:p>
        </w:tc>
        <w:tc>
          <w:tcPr>
            <w:tcW w:w="3120" w:type="dxa"/>
          </w:tcPr>
          <w:p>
            <w:pPr/>
            <w:r>
              <w:t xml:space="preserve">Token, Wallet, TX, Policy, Callback Handler, Co-Signer (inside a workspace); Smart Contract, Event, Screening, Oracle services</w:t>
            </w:r>
          </w:p>
        </w:tc>
        <w:tc>
          <w:tcPr>
            <w:tcW w:w="3120" w:type="dxa"/>
          </w:tcPr>
          <w:p>
            <w:pPr/>
            <w:r>
              <w:rPr>
                <w:b/>
              </w:rPr>
              <w:t xml:space="preserve">Blockchain-aware API</w:t>
            </w:r>
            <w:r>
              <w:t xml:space="preserve"> (CRUD wallet/token/tx/policy/contract/oracle) + status/event/callback feed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Platform control plane</w:t>
            </w:r>
          </w:p>
        </w:tc>
        <w:tc>
          <w:tcPr>
            <w:tcW w:w="3120" w:type="dxa"/>
          </w:tcPr>
          <w:p>
            <w:pPr/>
            <w:r>
              <w:t xml:space="preserve">X-Tenant Routing, Platform Registry, Tenant Service, IAA/IAM, Key Service/HSM, Admin Portal, Platform Fee Service, Monitoring</w:t>
            </w:r>
          </w:p>
        </w:tc>
        <w:tc>
          <w:tcPr>
            <w:tcW w:w="3120" w:type="dxa"/>
          </w:tcPr>
          <w:p>
            <w:pPr/>
            <w:r>
              <w:t xml:space="preserve">Tenant onboarding, routing rules, roles and API keys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Edge</w:t>
            </w:r>
          </w:p>
        </w:tc>
        <w:tc>
          <w:tcPr>
            <w:tcW w:w="3120" w:type="dxa"/>
          </w:tcPr>
          <w:p>
            <w:pPr/>
            <w:r>
              <w:t xml:space="preserve">Ingress (webhooks in), Egress (vendor API out)</w:t>
            </w:r>
          </w:p>
        </w:tc>
        <w:tc>
          <w:tcPr>
            <w:tcW w:w="3120" w:type="dxa"/>
          </w:tcPr>
          <w:p>
            <w:pPr/>
            <w:r>
              <w:t xml:space="preserve">Vendor isolation boundary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Vendor + chains</w:t>
            </w:r>
          </w:p>
        </w:tc>
        <w:tc>
          <w:tcPr>
            <w:tcW w:w="3120" w:type="dxa"/>
          </w:tcPr>
          <w:p>
            <w:pPr/>
            <w:r>
              <w:t xml:space="preserve">Fireblocks cloud (API GW, Signing Engine, Webhooks); EVM, Solana, Canton, smart contracts</w:t>
            </w:r>
          </w:p>
        </w:tc>
        <w:tc>
          <w:tcPr>
            <w:tcW w:w="3120" w:type="dxa"/>
          </w:tcPr>
          <w:p>
            <w:pPr/>
            <w:r>
              <w:t xml:space="preserve">Custody, MPC signing, broadcast</w:t>
            </w:r>
          </w:p>
        </w:tc>
      </w:tr>
    </w:tbl>
    <w:p>
      <w:pPr>
        <w:pStyle w:val="Heading3"/>
      </w:pPr>
      <w:r>
        <w:t xml:space="preserve">Domain model (as I read the class diagram)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Business Unit</w:t>
      </w:r>
      <w:r>
        <w:t xml:space="preserve"> owns 0..n </w:t>
      </w:r>
      <w:r>
        <w:rPr>
          <w:b/>
        </w:rPr>
        <w:t xml:space="preserve">Shards</w:t>
      </w:r>
      <w:r>
        <w:t xml:space="preserve">; a shard maps 1:1 to a vendor </w:t>
      </w:r>
      <w:r>
        <w:rPr>
          <w:b/>
        </w:rPr>
        <w:t xml:space="preserve">Workspace</w:t>
      </w:r>
      <w:r>
        <w:t xml:space="preserve"> (HSM or MPC variant).</w:t>
      </w:r>
    </w:p>
    <w:p>
      <w:pPr>
        <w:pStyle w:val="ListParagraph"/>
        <w:numPr>
          <w:ilvl w:val="0"/>
          <w:numId w:val="3"/>
        </w:numPr>
      </w:pPr>
      <w:r>
        <w:t xml:space="preserve">Workspace → </w:t>
      </w:r>
      <w:r>
        <w:rPr>
          <w:b/>
        </w:rPr>
        <w:t xml:space="preserve">Vault Acct</w:t>
      </w:r>
      <w:r>
        <w:t xml:space="preserve"> → </w:t>
      </w:r>
      <w:r>
        <w:rPr>
          <w:b/>
        </w:rPr>
        <w:t xml:space="preserve">Asset Wallet</w:t>
      </w:r>
      <w:r>
        <w:t xml:space="preserve"> (one per asset, account- or UTXO-based) → </w:t>
      </w:r>
      <w:r>
        <w:rPr>
          <w:b/>
        </w:rPr>
        <w:t xml:space="preserve">Address</w:t>
      </w:r>
      <w:r>
        <w:t xml:space="preserve"> (EOA derived from a public key, or contract address derived from deployment).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Wallet</w:t>
      </w:r>
      <w:r>
        <w:t xml:space="preserve"> is a DAP-level grouping/layering concept tagged to an </w:t>
      </w:r>
      <w:r>
        <w:rPr>
          <w:b/>
        </w:rPr>
        <w:t xml:space="preserve">Account</w:t>
      </w:r>
      <w:r>
        <w:t xml:space="preserve"> (omnibus, segregated, issuer, admin, gas-station).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Token</w:t>
      </w:r>
      <w:r>
        <w:t xml:space="preserve"> (ERC-20, ERC-3643, …) is supported by a </w:t>
      </w:r>
      <w:r>
        <w:rPr>
          <w:b/>
        </w:rPr>
        <w:t xml:space="preserve">Smart Contract</w:t>
      </w:r>
      <w:r>
        <w:t xml:space="preserve"> deployed on a </w:t>
      </w:r>
      <w:r>
        <w:rPr>
          <w:b/>
        </w:rPr>
        <w:t xml:space="preserve">Blockchain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Policy</w:t>
      </w:r>
      <w:r>
        <w:t xml:space="preserve"> attaches at shard (business/platform) and workspace (vendor TAP) levels; </w:t>
      </w:r>
      <w:r>
        <w:rPr>
          <w:b/>
        </w:rPr>
        <w:t xml:space="preserve">Quorum</w:t>
      </w:r>
      <w:r>
        <w:t xml:space="preserve"> of </w:t>
      </w:r>
      <w:r>
        <w:rPr>
          <w:b/>
        </w:rPr>
        <w:t xml:space="preserve">Approver/API_User</w:t>
      </w:r>
      <w:r>
        <w:t xml:space="preserve">; </w:t>
      </w:r>
      <w:r>
        <w:rPr>
          <w:b/>
        </w:rPr>
        <w:t xml:space="preserve">Co-Signer</w:t>
      </w:r>
      <w:r>
        <w:t xml:space="preserve"> configured with a </w:t>
      </w:r>
      <w:r>
        <w:rPr>
          <w:b/>
        </w:rPr>
        <w:t xml:space="preserve">KeyShare</w:t>
      </w:r>
      <w:r>
        <w:t xml:space="preserve">; </w:t>
      </w:r>
      <w:r>
        <w:rPr>
          <w:b/>
        </w:rPr>
        <w:t xml:space="preserve">Gas Station</w:t>
      </w:r>
      <w:r>
        <w:t xml:space="preserve"> funds native assets.</w:t>
      </w:r>
    </w:p>
    <w:p>
      <w:pPr>
        <w:pStyle w:val="Heading3"/>
      </w:pPr>
      <w:r>
        <w:t xml:space="preserve">Key flows I traced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Business onboarding</w:t>
      </w:r>
      <w:r>
        <w:t xml:space="preserve"> — onboard request → approve → create api-keys (IAA) → create custodian → create Fireblocks workspace → MPC key ceremony with API Co-Signer (MS-POLICY-CHECK, key share possibly HSM-backed) → instantiate shard with staging/prod silos → set biz policies → enable ingress/egress proxies and co-signers → update custodian routes → return api-keys and entry points.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Tenant-aware routing</w:t>
      </w:r>
      <w:r>
        <w:t xml:space="preserve"> — BU sends api-key + signed platform intent → X-custodian Routing resolves biz-id → shard-id → entry point → forwards to service(i)@shard.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Tokenization end-to-end</w:t>
      </w:r>
      <w:r>
        <w:t xml:space="preserve"> — TOKEN_ONBOARDING (create platform intent, tag by biz-id, check biz policy, create token record, set token policy) → optional VAULT/WALLET CREATION → optional CONTRACT-DEPLOY (policy + security check, deploy via TX-EXECUTION) → optional TOKEN_UPDATE → mint/burn/transfer via TX-EXECUTION.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Omni-wallet creation</w:t>
      </w:r>
      <w:r>
        <w:t xml:space="preserve"> — platform intent → Wallet Service@X checks business policy, sets vault/wallet policy → Fireblocks creates vault/wallets (TAP check, whitelist) → event → status.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On-chain transaction end-to-end</w:t>
      </w:r>
      <w:r>
        <w:t xml:space="preserve"> — three MS-POLICY-CHK gates: </w:t>
      </w:r>
      <w:r>
        <w:rPr>
          <w:b/>
        </w:rPr>
        <w:t xml:space="preserve">/business-policy</w:t>
      </w:r>
      <w:r>
        <w:t xml:space="preserve"> (Wallet → Policy Engine → Policy Approver, signed verdict), </w:t>
      </w:r>
      <w:r>
        <w:rPr>
          <w:b/>
        </w:rPr>
        <w:t xml:space="preserve">/platform-policy</w:t>
      </w:r>
      <w:r>
        <w:t xml:space="preserve"> (TX Service, signed dap-verdict), and </w:t>
      </w:r>
      <w:r>
        <w:rPr>
          <w:b/>
        </w:rPr>
        <w:t xml:space="preserve">/signing-policy</w:t>
      </w:r>
      <w:r>
        <w:t xml:space="preserve"> (Co-Signer callback checks ref_id ↔ platform-intent ↔ Ti ↔ Tr match, gas range, Tr = signing payload, biz policy) → partial sig → Fireblocks full sig → broadcast → DATA-EVT-FEED and TX-STATUS-FEED → holdings updated.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Cross-shard settlement</w:t>
      </w:r>
      <w:r>
        <w:t xml:space="preserve"> — resolve both tenants via Platform Registry, fetch to-shard deposit address, set a one-time whitelist on the from-shard policy, then transfer.</w:t>
      </w:r>
    </w:p>
    <w:p>
      <w:pPr>
        <w:pStyle w:val="Heading3"/>
      </w:pPr>
      <w:r>
        <w:t xml:space="preserve">Wiring protocol</w:t>
      </w:r>
    </w:p>
    <w:p>
      <w:pPr/>
      <w:r>
        <w:t xml:space="preserve">Every message is a typed protobuf payload plus a 5-field header channel (</w:t>
      </w:r>
      <w:r>
        <w:rPr>
          <w:rStyle w:val="CodeChar"/>
        </w:rPr>
        <w:t xml:space="preserve">x-dap-version</w:t>
      </w:r>
      <w:r>
        <w:t xml:space="preserve">, </w:t>
      </w:r>
      <w:r>
        <w:rPr>
          <w:rStyle w:val="CodeChar"/>
        </w:rPr>
        <w:t xml:space="preserve">x-dap-service</w:t>
      </w:r>
      <w:r>
        <w:t xml:space="preserve">, </w:t>
      </w:r>
      <w:r>
        <w:rPr>
          <w:rStyle w:val="CodeChar"/>
        </w:rPr>
        <w:t xml:space="preserve">x-dap-msgtype</w:t>
      </w:r>
      <w:r>
        <w:t xml:space="preserve">, </w:t>
      </w:r>
      <w:r>
        <w:rPr>
          <w:rStyle w:val="CodeChar"/>
        </w:rPr>
        <w:t xml:space="preserve">x-dap-api-key</w:t>
      </w:r>
      <w:r>
        <w:t xml:space="preserve"> JWT, </w:t>
      </w:r>
      <w:r>
        <w:rPr>
          <w:rStyle w:val="CodeChar"/>
        </w:rPr>
        <w:t xml:space="preserve">x-dap-msg-sig</w:t>
      </w:r>
      <w:r>
        <w:t xml:space="preserve"> RS256 detached over canonical proto bytes), carried as gRPC metadata, HTTP headers, or Kafka </w:t>
      </w:r>
      <w:r>
        <w:rPr>
          <w:rStyle w:val="CodeChar"/>
        </w:rPr>
        <w:t xml:space="preserve">PayloadHeaders.referenceIds</w:t>
      </w:r>
      <w:r>
        <w:t xml:space="preserve">. Bytes are relayed verbatim and verified at both the dispatcher edge and the destination.</w:t>
      </w:r>
    </w:p>
    <w:p>
      <w:pPr>
        <w:pStyle w:val="Heading2"/>
      </w:pPr>
      <w:r>
        <w:t xml:space="preserve">What the design gets right</w:t>
      </w:r>
    </w:p>
    <w:p>
      <w:pPr/>
      <w:r>
        <w:t xml:space="preserve">The foundations are enterprise-grade: hard tenant isolation, defense-in-depth signing, and a transport-neutral message contract are the hardest things to retrofit, and DAP has them from day one.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Two-API layering.</w:t>
      </w:r>
      <w:r>
        <w:t xml:space="preserve"> Separating a blockchain-agnostic API (business intent) from a blockchain-aware API (wallets, tx, contracts) is the right seam. New chains change the lower layer only.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Shard-per-BU isolation.</w:t>
      </w:r>
      <w:r>
        <w:t xml:space="preserve"> Each BU gets its own workspace, keys, policies and co-signer. Blast radius of a compromised API key or bad policy is one BU, which maps well to Chinese-wall and entitlement requirements.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Bank-controlled co-signer.</w:t>
      </w:r>
      <w:r>
        <w:t xml:space="preserve"> An MS-hosted API Co-Signer with a pre-signing callback means Fireblocks alone cannot move assets. This is the key control that makes a SaaS MPC vendor acceptable to risk.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Signed policy verdicts.</w:t>
      </w:r>
      <w:r>
        <w:t xml:space="preserve"> Verdicts carry </w:t>
      </w:r>
      <w:r>
        <w:rPr>
          <w:rStyle w:val="CodeChar"/>
        </w:rPr>
        <w:t xml:space="preserve">ref_id</w:t>
      </w:r>
      <w:r>
        <w:t xml:space="preserve">, </w:t>
      </w:r>
      <w:r>
        <w:rPr>
          <w:rStyle w:val="CodeChar"/>
        </w:rPr>
        <w:t xml:space="preserve">policy_ref</w:t>
      </w:r>
      <w:r>
        <w:t xml:space="preserve">, reason, conditions and a signature, so every approval is attributable and replayable for audit.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Correlation by </w:t>
      </w:r>
      <w:r>
        <w:rPr>
          <w:rStyle w:val="CodeChar"/>
          <w:b/>
        </w:rPr>
        <w:t xml:space="preserve">ref_id</w:t>
      </w:r>
      <w:r>
        <w:rPr>
          <w:b/>
        </w:rPr>
        <w:t xml:space="preserve">.</w:t>
      </w:r>
      <w:r>
        <w:t xml:space="preserve"> One id from platform intent through Ti, Tr, txid and events gives end-to-end lineage.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Detached message signatures over verbatim bytes.</w:t>
      </w:r>
      <w:r>
        <w:t xml:space="preserve"> Avoids the protobuf non-canonical re-marshal trap and lets a payload-opaque dispatcher verify at the edge (fail fast) and the destination (zero trust).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Explicit finality handling.</w:t>
      </w:r>
      <w:r>
        <w:t xml:space="preserve"> The tx flow names execution, reorg and finality revision, which many first designs ignore.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Cloud-neutral, containerised, event-driven.</w:t>
      </w:r>
      <w:r>
        <w:t xml:space="preserve"> HPA/KEDA autoscaling without serverless lock-in keeps deployment options open across on-prem and cloud.</w:t>
      </w:r>
    </w:p>
    <w:p>
      <w:pPr>
        <w:pStyle w:val="Heading2"/>
      </w:pPr>
      <w:r>
        <w:t xml:space="preserve">Design feedback and recommendations</w:t>
      </w:r>
    </w:p>
    <w:p>
      <w:pPr/>
      <w:r>
        <w:t xml:space="preserve">Five findings are high priority because they touch asset safety or auditability: policy fragmentation (F1), intent-to-bytes binding (F2), message-signature scope (F3), ledger source of truth (F5) and co-signer availability (F9).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Finding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Area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Priority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F1</w:t>
            </w:r>
          </w:p>
        </w:tc>
        <w:tc>
          <w:tcPr>
            <w:tcW w:w="2340" w:type="dxa"/>
          </w:tcPr>
          <w:p>
            <w:pPr/>
            <w:r>
              <w:t xml:space="preserve">Four policy checkpoints with no single decision model</w:t>
            </w:r>
          </w:p>
        </w:tc>
        <w:tc>
          <w:tcPr>
            <w:tcW w:w="2340" w:type="dxa"/>
          </w:tcPr>
          <w:p>
            <w:pPr/>
            <w:r>
              <w:t xml:space="preserve">Policy</w:t>
            </w:r>
          </w:p>
        </w:tc>
        <w:tc>
          <w:tcPr>
            <w:tcW w:w="2340" w:type="dxa"/>
          </w:tcPr>
          <w:p>
            <w:pPr/>
            <w:r>
              <w:t xml:space="preserve">High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F2</w:t>
            </w:r>
          </w:p>
        </w:tc>
        <w:tc>
          <w:tcPr>
            <w:tcW w:w="2340" w:type="dxa"/>
          </w:tcPr>
          <w:p>
            <w:pPr/>
            <w:r>
              <w:t xml:space="preserve">Co-signer must prove signed bytes = approved intent (WYSIWYS)</w:t>
            </w:r>
          </w:p>
        </w:tc>
        <w:tc>
          <w:tcPr>
            <w:tcW w:w="2340" w:type="dxa"/>
          </w:tcPr>
          <w:p>
            <w:pPr/>
            <w:r>
              <w:t xml:space="preserve">Signing</w:t>
            </w:r>
          </w:p>
        </w:tc>
        <w:tc>
          <w:tcPr>
            <w:tcW w:w="2340" w:type="dxa"/>
          </w:tcPr>
          <w:p>
            <w:pPr/>
            <w:r>
              <w:t xml:space="preserve">High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F3</w:t>
            </w:r>
          </w:p>
        </w:tc>
        <w:tc>
          <w:tcPr>
            <w:tcW w:w="2340" w:type="dxa"/>
          </w:tcPr>
          <w:p>
            <w:pPr/>
            <w:r>
              <w:t xml:space="preserve">Message signature covers payload but not routing headers; no replay window</w:t>
            </w:r>
          </w:p>
        </w:tc>
        <w:tc>
          <w:tcPr>
            <w:tcW w:w="2340" w:type="dxa"/>
          </w:tcPr>
          <w:p>
            <w:pPr/>
            <w:r>
              <w:t xml:space="preserve">Wiring protocol</w:t>
            </w:r>
          </w:p>
        </w:tc>
        <w:tc>
          <w:tcPr>
            <w:tcW w:w="2340" w:type="dxa"/>
          </w:tcPr>
          <w:p>
            <w:pPr/>
            <w:r>
              <w:t xml:space="preserve">High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F4</w:t>
            </w:r>
          </w:p>
        </w:tc>
        <w:tc>
          <w:tcPr>
            <w:tcW w:w="2340" w:type="dxa"/>
          </w:tcPr>
          <w:p>
            <w:pPr/>
            <w:r>
              <w:t xml:space="preserve">Event path needs outbox, idempotency and per-chain finality states</w:t>
            </w:r>
          </w:p>
        </w:tc>
        <w:tc>
          <w:tcPr>
            <w:tcW w:w="2340" w:type="dxa"/>
          </w:tcPr>
          <w:p>
            <w:pPr/>
            <w:r>
              <w:t xml:space="preserve">Eventing</w:t>
            </w:r>
          </w:p>
        </w:tc>
        <w:tc>
          <w:tcPr>
            <w:tcW w:w="2340" w:type="dxa"/>
          </w:tcPr>
          <w:p>
            <w:pPr/>
            <w:r>
              <w:t xml:space="preserve">Medium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F5</w:t>
            </w:r>
          </w:p>
        </w:tc>
        <w:tc>
          <w:tcPr>
            <w:tcW w:w="2340" w:type="dxa"/>
          </w:tcPr>
          <w:p>
            <w:pPr/>
            <w:r>
              <w:t xml:space="preserve">Holdings updated in both Token and Wallet services</w:t>
            </w:r>
          </w:p>
        </w:tc>
        <w:tc>
          <w:tcPr>
            <w:tcW w:w="2340" w:type="dxa"/>
          </w:tcPr>
          <w:p>
            <w:pPr/>
            <w:r>
              <w:t xml:space="preserve">Ledger</w:t>
            </w:r>
          </w:p>
        </w:tc>
        <w:tc>
          <w:tcPr>
            <w:tcW w:w="2340" w:type="dxa"/>
          </w:tcPr>
          <w:p>
            <w:pPr/>
            <w:r>
              <w:t xml:space="preserve">High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F6</w:t>
            </w:r>
          </w:p>
        </w:tc>
        <w:tc>
          <w:tcPr>
            <w:tcW w:w="2340" w:type="dxa"/>
          </w:tcPr>
          <w:p>
            <w:pPr/>
            <w:r>
              <w:t xml:space="preserve">Domain model mirrors Fireblocks concepts; vendor lock-in</w:t>
            </w:r>
          </w:p>
        </w:tc>
        <w:tc>
          <w:tcPr>
            <w:tcW w:w="2340" w:type="dxa"/>
          </w:tcPr>
          <w:p>
            <w:pPr/>
            <w:r>
              <w:t xml:space="preserve">Custody abstraction</w:t>
            </w:r>
          </w:p>
        </w:tc>
        <w:tc>
          <w:tcPr>
            <w:tcW w:w="2340" w:type="dxa"/>
          </w:tcPr>
          <w:p>
            <w:pPr/>
            <w:r>
              <w:t xml:space="preserve">Medium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F7</w:t>
            </w:r>
          </w:p>
        </w:tc>
        <w:tc>
          <w:tcPr>
            <w:tcW w:w="2340" w:type="dxa"/>
          </w:tcPr>
          <w:p>
            <w:pPr/>
            <w:r>
              <w:t xml:space="preserve">Platform Registry sits on every hot path</w:t>
            </w:r>
          </w:p>
        </w:tc>
        <w:tc>
          <w:tcPr>
            <w:tcW w:w="2340" w:type="dxa"/>
          </w:tcPr>
          <w:p>
            <w:pPr/>
            <w:r>
              <w:t xml:space="preserve">Routing / scale</w:t>
            </w:r>
          </w:p>
        </w:tc>
        <w:tc>
          <w:tcPr>
            <w:tcW w:w="2340" w:type="dxa"/>
          </w:tcPr>
          <w:p>
            <w:pPr/>
            <w:r>
              <w:t xml:space="preserve">Medium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F8</w:t>
            </w:r>
          </w:p>
        </w:tc>
        <w:tc>
          <w:tcPr>
            <w:tcW w:w="2340" w:type="dxa"/>
          </w:tcPr>
          <w:p>
            <w:pPr/>
            <w:r>
              <w:t xml:space="preserve">Cross-shard transfer is two-step, not atomic</w:t>
            </w:r>
          </w:p>
        </w:tc>
        <w:tc>
          <w:tcPr>
            <w:tcW w:w="2340" w:type="dxa"/>
          </w:tcPr>
          <w:p>
            <w:pPr/>
            <w:r>
              <w:t xml:space="preserve">Settlement</w:t>
            </w:r>
          </w:p>
        </w:tc>
        <w:tc>
          <w:tcPr>
            <w:tcW w:w="2340" w:type="dxa"/>
          </w:tcPr>
          <w:p>
            <w:pPr/>
            <w:r>
              <w:t xml:space="preserve">Medium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F9</w:t>
            </w:r>
          </w:p>
        </w:tc>
        <w:tc>
          <w:tcPr>
            <w:tcW w:w="2340" w:type="dxa"/>
          </w:tcPr>
          <w:p>
            <w:pPr/>
            <w:r>
              <w:t xml:space="preserve">Co-signer is a liveness dependency on every signature</w:t>
            </w:r>
          </w:p>
        </w:tc>
        <w:tc>
          <w:tcPr>
            <w:tcW w:w="2340" w:type="dxa"/>
          </w:tcPr>
          <w:p>
            <w:pPr/>
            <w:r>
              <w:t xml:space="preserve">Key mgmt / HA</w:t>
            </w:r>
          </w:p>
        </w:tc>
        <w:tc>
          <w:tcPr>
            <w:tcW w:w="2340" w:type="dxa"/>
          </w:tcPr>
          <w:p>
            <w:pPr/>
            <w:r>
              <w:t xml:space="preserve">High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F10</w:t>
            </w:r>
          </w:p>
        </w:tc>
        <w:tc>
          <w:tcPr>
            <w:tcW w:w="2340" w:type="dxa"/>
          </w:tcPr>
          <w:p>
            <w:pPr/>
            <w:r>
              <w:t xml:space="preserve">Screening, KYT and Travel Rule placement unclear</w:t>
            </w:r>
          </w:p>
        </w:tc>
        <w:tc>
          <w:tcPr>
            <w:tcW w:w="2340" w:type="dxa"/>
          </w:tcPr>
          <w:p>
            <w:pPr/>
            <w:r>
              <w:t xml:space="preserve">Compliance</w:t>
            </w:r>
          </w:p>
        </w:tc>
        <w:tc>
          <w:tcPr>
            <w:tcW w:w="2340" w:type="dxa"/>
          </w:tcPr>
          <w:p>
            <w:pPr/>
            <w:r>
              <w:t xml:space="preserve">Medium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F11</w:t>
            </w:r>
          </w:p>
        </w:tc>
        <w:tc>
          <w:tcPr>
            <w:tcW w:w="2340" w:type="dxa"/>
          </w:tcPr>
          <w:p>
            <w:pPr/>
            <w:r>
              <w:t xml:space="preserve">Admin-portal actions may bypass the intent pipeline</w:t>
            </w:r>
          </w:p>
        </w:tc>
        <w:tc>
          <w:tcPr>
            <w:tcW w:w="2340" w:type="dxa"/>
          </w:tcPr>
          <w:p>
            <w:pPr/>
            <w:r>
              <w:t xml:space="preserve">Governance</w:t>
            </w:r>
          </w:p>
        </w:tc>
        <w:tc>
          <w:tcPr>
            <w:tcW w:w="2340" w:type="dxa"/>
          </w:tcPr>
          <w:p>
            <w:pPr/>
            <w:r>
              <w:t xml:space="preserve">Medium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F12</w:t>
            </w:r>
          </w:p>
        </w:tc>
        <w:tc>
          <w:tcPr>
            <w:tcW w:w="2340" w:type="dxa"/>
          </w:tcPr>
          <w:p>
            <w:pPr/>
            <w:r>
              <w:t xml:space="preserve">Smart-contract upgrade and role governance not specified</w:t>
            </w:r>
          </w:p>
        </w:tc>
        <w:tc>
          <w:tcPr>
            <w:tcW w:w="2340" w:type="dxa"/>
          </w:tcPr>
          <w:p>
            <w:pPr/>
            <w:r>
              <w:t xml:space="preserve">Contracts</w:t>
            </w:r>
          </w:p>
        </w:tc>
        <w:tc>
          <w:tcPr>
            <w:tcW w:w="2340" w:type="dxa"/>
          </w:tcPr>
          <w:p>
            <w:pPr/>
            <w:r>
              <w:t xml:space="preserve">Medium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F13</w:t>
            </w:r>
          </w:p>
        </w:tc>
        <w:tc>
          <w:tcPr>
            <w:tcW w:w="2340" w:type="dxa"/>
          </w:tcPr>
          <w:p>
            <w:pPr/>
            <w:r>
              <w:t xml:space="preserve">Throughput limit is vendor API + MPC latency, not pods</w:t>
            </w:r>
          </w:p>
        </w:tc>
        <w:tc>
          <w:tcPr>
            <w:tcW w:w="2340" w:type="dxa"/>
          </w:tcPr>
          <w:p>
            <w:pPr/>
            <w:r>
              <w:t xml:space="preserve">Scale</w:t>
            </w:r>
          </w:p>
        </w:tc>
        <w:tc>
          <w:tcPr>
            <w:tcW w:w="2340" w:type="dxa"/>
          </w:tcPr>
          <w:p>
            <w:pPr/>
            <w:r>
              <w:t xml:space="preserve">Medium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F14</w:t>
            </w:r>
          </w:p>
        </w:tc>
        <w:tc>
          <w:tcPr>
            <w:tcW w:w="2340" w:type="dxa"/>
          </w:tcPr>
          <w:p>
            <w:pPr/>
            <w:r>
              <w:t xml:space="preserve">Gas, nonce and fee-sponsorship strategy</w:t>
            </w:r>
          </w:p>
        </w:tc>
        <w:tc>
          <w:tcPr>
            <w:tcW w:w="2340" w:type="dxa"/>
          </w:tcPr>
          <w:p>
            <w:pPr/>
            <w:r>
              <w:t xml:space="preserve">Execution</w:t>
            </w:r>
          </w:p>
        </w:tc>
        <w:tc>
          <w:tcPr>
            <w:tcW w:w="2340" w:type="dxa"/>
          </w:tcPr>
          <w:p>
            <w:pPr/>
            <w:r>
              <w:t xml:space="preserve">Low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F15</w:t>
            </w:r>
          </w:p>
        </w:tc>
        <w:tc>
          <w:tcPr>
            <w:tcW w:w="2340" w:type="dxa"/>
          </w:tcPr>
          <w:p>
            <w:pPr/>
            <w:r>
              <w:t xml:space="preserve">Reconciliation and audit lineage not yet drawn</w:t>
            </w:r>
          </w:p>
        </w:tc>
        <w:tc>
          <w:tcPr>
            <w:tcW w:w="2340" w:type="dxa"/>
          </w:tcPr>
          <w:p>
            <w:pPr/>
            <w:r>
              <w:t xml:space="preserve">Ops / audit</w:t>
            </w:r>
          </w:p>
        </w:tc>
        <w:tc>
          <w:tcPr>
            <w:tcW w:w="2340" w:type="dxa"/>
          </w:tcPr>
          <w:p>
            <w:pPr/>
            <w:r>
              <w:t xml:space="preserve">Medium</w:t>
            </w:r>
          </w:p>
        </w:tc>
      </w:tr>
    </w:tbl>
    <w:p>
      <w:pPr>
        <w:pStyle w:val="Heading3"/>
      </w:pPr>
      <w:r>
        <w:t xml:space="preserve">F1 — Consolidate policy into one decision model</w:t>
      </w:r>
    </w:p>
    <w:p>
      <w:pPr/>
      <w:r>
        <w:t xml:space="preserve">Today a transfer passes </w:t>
      </w:r>
      <w:r>
        <w:rPr>
          <w:b/>
        </w:rPr>
        <w:t xml:space="preserve">/business-policy</w:t>
      </w:r>
      <w:r>
        <w:t xml:space="preserve">, </w:t>
      </w:r>
      <w:r>
        <w:rPr>
          <w:b/>
        </w:rPr>
        <w:t xml:space="preserve">/platform-policy</w:t>
      </w:r>
      <w:r>
        <w:t xml:space="preserve">, </w:t>
      </w:r>
      <w:r>
        <w:rPr>
          <w:b/>
        </w:rPr>
        <w:t xml:space="preserve">/signing-policy</w:t>
      </w:r>
      <w:r>
        <w:t xml:space="preserve"> and Fireblocks </w:t>
      </w:r>
      <w:r>
        <w:rPr>
          <w:b/>
        </w:rPr>
        <w:t xml:space="preserve">TAP</w:t>
      </w:r>
      <w:r>
        <w:t xml:space="preserve">. Each re-evaluates partially overlapping rules, so the same intent can get different answers (policy drift), and rules evaluated at t0 may be stale by signing at t1 (TOCTOU).</w:t>
      </w:r>
    </w:p>
    <w:p>
      <w:pPr/>
      <w:r>
        <w:rPr>
          <w:b/>
        </w:rPr>
        <w:t xml:space="preserve">Recommend:</w:t>
      </w:r>
    </w:p>
    <w:p>
      <w:pPr>
        <w:pStyle w:val="ListParagraph"/>
        <w:numPr>
          <w:ilvl w:val="0"/>
          <w:numId w:val="6"/>
        </w:numPr>
      </w:pPr>
      <w:r>
        <w:t xml:space="preserve">One Policy Decision Point (PDP) with versioned, signed policy bundles authored as code (OPA/Rego or AWS Cedar), with a separate Policy Administration Point and 4-eyes on bundle changes.</w:t>
      </w:r>
    </w:p>
    <w:p>
      <w:pPr>
        <w:pStyle w:val="ListParagraph"/>
        <w:numPr>
          <w:ilvl w:val="0"/>
          <w:numId w:val="6"/>
        </w:numPr>
      </w:pPr>
      <w:r>
        <w:t xml:space="preserve">Each gate evaluates a different </w:t>
      </w:r>
      <w:r>
        <w:rPr>
          <w:b/>
        </w:rPr>
        <w:t xml:space="preserve">input stage</w:t>
      </w:r>
      <w:r>
        <w:t xml:space="preserve"> (intent → built tx → raw tx) against the same bundle, and emits a </w:t>
      </w:r>
      <w:r>
        <w:rPr>
          <w:b/>
        </w:rPr>
        <w:t xml:space="preserve">decision token</w:t>
      </w:r>
      <w:r>
        <w:t xml:space="preserve">: </w:t>
      </w:r>
      <w:r>
        <w:rPr>
          <w:rStyle w:val="CodeChar"/>
        </w:rPr>
        <w:t xml:space="preserve">{ref_id, stage, H(input), bundle_version, verdict, obligations, exp}</w:t>
      </w:r>
      <w:r>
        <w:t xml:space="preserve"> signed by the PDP.</w:t>
      </w:r>
    </w:p>
    <w:p>
      <w:pPr>
        <w:pStyle w:val="ListParagraph"/>
        <w:numPr>
          <w:ilvl w:val="0"/>
          <w:numId w:val="6"/>
        </w:numPr>
      </w:pPr>
      <w:r>
        <w:t xml:space="preserve">The co-signer verifies the chain of decision tokens and that </w:t>
      </w:r>
      <w:r>
        <w:rPr>
          <w:rStyle w:val="CodeChar"/>
        </w:rPr>
        <w:t xml:space="preserve">H(Tr)</w:t>
      </w:r>
      <w:r>
        <w:t xml:space="preserve"> matches, rather than re-deriving business rules. Re-evaluate only time-sensitive rules (limits, sanctions) at signing.</w:t>
      </w:r>
    </w:p>
    <w:p>
      <w:pPr>
        <w:pStyle w:val="ListParagraph"/>
        <w:numPr>
          <w:ilvl w:val="0"/>
          <w:numId w:val="6"/>
        </w:numPr>
      </w:pPr>
      <w:r>
        <w:t xml:space="preserve">Generate the Fireblocks TAP from the same bundle so the vendor layer is a mirror (defense in depth), not a separately maintained rulebook.</w:t>
      </w:r>
    </w:p>
    <w:p>
      <w:pPr>
        <w:pStyle w:val="Heading3"/>
      </w:pPr>
      <w:r>
        <w:t xml:space="preserve">F2 — What-you-see-is-what-you-sign at the co-signer</w:t>
      </w:r>
    </w:p>
    <w:p>
      <w:pPr/>
      <w:r>
        <w:t xml:space="preserve">The co-signer check "Tr matches signing payload" is the last line of defense. The 2025 Bybit loss showed that a manipulated payload behind a trusted signing UI defeats multisig and MPC alike.</w:t>
      </w:r>
    </w:p>
    <w:p>
      <w:pPr/>
      <w:r>
        <w:rPr>
          <w:b/>
        </w:rPr>
        <w:t xml:space="preserve">Recommend:</w:t>
      </w:r>
    </w:p>
    <w:p>
      <w:pPr>
        <w:pStyle w:val="ListParagraph"/>
        <w:numPr>
          <w:ilvl w:val="0"/>
          <w:numId w:val="7"/>
        </w:numPr>
      </w:pPr>
      <w:r>
        <w:t xml:space="preserve">An </w:t>
      </w:r>
      <w:r>
        <w:rPr>
          <w:b/>
        </w:rPr>
        <w:t xml:space="preserve">independent transaction decoder</w:t>
      </w:r>
      <w:r>
        <w:t xml:space="preserve"> in the co-signer that does not trust vendor-parsed fields: EVM RLP/EIP-1559 + ABI calldata decode, EIP-712 typed-data decode, </w:t>
      </w:r>
      <w:r>
        <w:rPr>
          <w:rStyle w:val="CodeChar"/>
        </w:rPr>
        <w:t xml:space="preserve">delegatecall</w:t>
      </w:r>
      <w:r>
        <w:t xml:space="preserve"> and </w:t>
      </w:r>
      <w:r>
        <w:rPr>
          <w:rStyle w:val="CodeChar"/>
        </w:rPr>
        <w:t xml:space="preserve">approve</w:t>
      </w:r>
      <w:r>
        <w:t xml:space="preserve">/</w:t>
      </w:r>
      <w:r>
        <w:rPr>
          <w:rStyle w:val="CodeChar"/>
        </w:rPr>
        <w:t xml:space="preserve">permit</w:t>
      </w:r>
      <w:r>
        <w:t xml:space="preserve"> detection; Solana instruction + address-lookup-table decode; Canton command/transaction view decode.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Pre-sign simulation</w:t>
      </w:r>
      <w:r>
        <w:t xml:space="preserve"> (forked </w:t>
      </w:r>
      <w:r>
        <w:rPr>
          <w:rStyle w:val="CodeChar"/>
        </w:rPr>
        <w:t xml:space="preserve">eth_call</w:t>
      </w:r>
      <w:r>
        <w:t xml:space="preserve"> / </w:t>
      </w:r>
      <w:r>
        <w:rPr>
          <w:rStyle w:val="CodeChar"/>
        </w:rPr>
        <w:t xml:space="preserve">simulateTransaction</w:t>
      </w:r>
      <w:r>
        <w:t xml:space="preserve">) producing expected balance deltas, then assert deltas = intent (asset, amount, counterparty) within tolerance.</w:t>
      </w:r>
    </w:p>
    <w:p>
      <w:pPr>
        <w:pStyle w:val="ListParagraph"/>
        <w:numPr>
          <w:ilvl w:val="0"/>
          <w:numId w:val="7"/>
        </w:numPr>
      </w:pPr>
      <w:r>
        <w:t xml:space="preserve">Allow-lists keyed on </w:t>
      </w:r>
      <w:r>
        <w:rPr>
          <w:rStyle w:val="CodeChar"/>
        </w:rPr>
        <w:t xml:space="preserve">(chain_id, contract, function selector)</w:t>
      </w:r>
      <w:r>
        <w:t xml:space="preserve">; deny unknown selectors by default; cap </w:t>
      </w:r>
      <w:r>
        <w:rPr>
          <w:rStyle w:val="CodeChar"/>
        </w:rPr>
        <w:t xml:space="preserve">approve</w:t>
      </w:r>
      <w:r>
        <w:t xml:space="preserve"> allowances.</w:t>
      </w:r>
    </w:p>
    <w:p>
      <w:pPr>
        <w:pStyle w:val="ListParagraph"/>
        <w:numPr>
          <w:ilvl w:val="0"/>
          <w:numId w:val="7"/>
        </w:numPr>
      </w:pPr>
      <w:r>
        <w:t xml:space="preserve">Sign the decoded "human view" into the audit record so approvers and auditors see what was actually signed.</w:t>
      </w:r>
    </w:p>
    <w:p>
      <w:pPr>
        <w:pStyle w:val="Heading3"/>
      </w:pPr>
      <w:r>
        <w:t xml:space="preserve">F3 — Tighten the wiring-protocol signature</w:t>
      </w:r>
    </w:p>
    <w:p>
      <w:pPr/>
      <w:r>
        <w:rPr>
          <w:rStyle w:val="CodeChar"/>
        </w:rPr>
        <w:t xml:space="preserve">x-dap-msg-sig</w:t>
      </w:r>
      <w:r>
        <w:t xml:space="preserve"> covers payload bytes only. </w:t>
      </w:r>
      <w:r>
        <w:rPr>
          <w:rStyle w:val="CodeChar"/>
        </w:rPr>
        <w:t xml:space="preserve">x-dap-service</w:t>
      </w:r>
      <w:r>
        <w:t xml:space="preserve"> and </w:t>
      </w:r>
      <w:r>
        <w:rPr>
          <w:rStyle w:val="CodeChar"/>
        </w:rPr>
        <w:t xml:space="preserve">x-dap-msgtype</w:t>
      </w:r>
      <w:r>
        <w:t xml:space="preserve"> are unsigned, so a valid signed payload could be replayed or re-routed to a different handler if two message types share a compatible schema. There is also no timestamp, nonce or audience.</w:t>
      </w:r>
    </w:p>
    <w:p>
      <w:pPr/>
      <w:r>
        <w:rPr>
          <w:b/>
        </w:rPr>
        <w:t xml:space="preserve">Recommend:</w:t>
      </w:r>
    </w:p>
    <w:p>
      <w:pPr>
        <w:pStyle w:val="ListParagraph"/>
        <w:numPr>
          <w:ilvl w:val="0"/>
          <w:numId w:val="8"/>
        </w:numPr>
      </w:pPr>
      <w:r>
        <w:t xml:space="preserve">Sign a canonical signature base in the style of HTTP Message Signatures (RFC 9421): </w:t>
      </w:r>
      <w:r>
        <w:rPr>
          <w:rStyle w:val="CodeChar"/>
        </w:rPr>
        <w:t xml:space="preserve">version ‖ service ‖ msgtype ‖ kid ‖ created ‖ nonce ‖ aud ‖ SHA-256(payload)</w:t>
      </w:r>
      <w:r>
        <w:t xml:space="preserve">.</w:t>
      </w:r>
    </w:p>
    <w:p>
      <w:pPr>
        <w:pStyle w:val="ListParagraph"/>
        <w:numPr>
          <w:ilvl w:val="0"/>
          <w:numId w:val="8"/>
        </w:numPr>
      </w:pPr>
      <w:r>
        <w:t xml:space="preserve">Add </w:t>
      </w:r>
      <w:r>
        <w:rPr>
          <w:rStyle w:val="CodeChar"/>
        </w:rPr>
        <w:t xml:space="preserve">x-dap-created</w:t>
      </w:r>
      <w:r>
        <w:t xml:space="preserve">, </w:t>
      </w:r>
      <w:r>
        <w:rPr>
          <w:rStyle w:val="CodeChar"/>
        </w:rPr>
        <w:t xml:space="preserve">x-dap-nonce</w:t>
      </w:r>
      <w:r>
        <w:t xml:space="preserve"> (doubles as idempotency key) and </w:t>
      </w:r>
      <w:r>
        <w:rPr>
          <w:rStyle w:val="CodeChar"/>
        </w:rPr>
        <w:t xml:space="preserve">x-dap-aud</w:t>
      </w:r>
      <w:r>
        <w:t xml:space="preserve">; reject outside a ±N s window; keep a nonce cache per </w:t>
      </w:r>
      <w:r>
        <w:rPr>
          <w:rStyle w:val="CodeChar"/>
        </w:rPr>
        <w:t xml:space="preserve">kid</w:t>
      </w:r>
      <w:r>
        <w:t xml:space="preserve">.</w:t>
      </w:r>
    </w:p>
    <w:p>
      <w:pPr>
        <w:pStyle w:val="ListParagraph"/>
        <w:numPr>
          <w:ilvl w:val="0"/>
          <w:numId w:val="8"/>
        </w:numPr>
      </w:pPr>
      <w:r>
        <w:t xml:space="preserve">Consider Ed25519 or ECDSA P-256 over RS256: ~64-byte signatures vs 256, faster verify, HSM-friendly.</w:t>
      </w:r>
    </w:p>
    <w:p>
      <w:pPr>
        <w:pStyle w:val="ListParagraph"/>
        <w:numPr>
          <w:ilvl w:val="0"/>
          <w:numId w:val="8"/>
        </w:numPr>
      </w:pPr>
      <w:r>
        <w:t xml:space="preserve">Kafka supports native record headers; prefer them over overloading </w:t>
      </w:r>
      <w:r>
        <w:rPr>
          <w:rStyle w:val="CodeChar"/>
        </w:rPr>
        <w:t xml:space="preserve">PayloadHeaders.referenceIds</w:t>
      </w:r>
      <w:r>
        <w:t xml:space="preserve"> unless the </w:t>
      </w:r>
      <w:r>
        <w:rPr>
          <w:rStyle w:val="CodeChar"/>
        </w:rPr>
        <w:t xml:space="preserve">wmBaseEvent</w:t>
      </w:r>
      <w:r>
        <w:t xml:space="preserve"> envelope mandates it.</w:t>
      </w:r>
    </w:p>
    <w:p>
      <w:pPr>
        <w:pStyle w:val="ListParagraph"/>
        <w:numPr>
          <w:ilvl w:val="0"/>
          <w:numId w:val="8"/>
        </w:numPr>
      </w:pPr>
      <w:r>
        <w:t xml:space="preserve">Layer, don't replace: mTLS with workload identity (e.g., SPIFFE/SPIRE) for service-to-service authN; the message signature then serves non-repudiation of business intent.</w:t>
      </w:r>
    </w:p>
    <w:p>
      <w:pPr>
        <w:pStyle w:val="Heading3"/>
      </w:pPr>
      <w:r>
        <w:t xml:space="preserve">F4 — Exactly-once effects on an at-least-once bus</w:t>
      </w:r>
    </w:p>
    <w:p>
      <w:pPr/>
      <w:r>
        <w:t xml:space="preserve">Event Service fans out, correlates and re-publishes; balances update "if TX confirmed". Without explicit guarantees this produces duplicate credits or lost status under retries.</w:t>
      </w:r>
    </w:p>
    <w:p>
      <w:pPr/>
      <w:r>
        <w:rPr>
          <w:b/>
        </w:rPr>
        <w:t xml:space="preserve">Recommend:</w:t>
      </w:r>
    </w:p>
    <w:p>
      <w:pPr>
        <w:pStyle w:val="ListParagraph"/>
        <w:numPr>
          <w:ilvl w:val="0"/>
          <w:numId w:val="9"/>
        </w:numPr>
      </w:pPr>
      <w:r>
        <w:t xml:space="preserve">Transactional </w:t>
      </w:r>
      <w:r>
        <w:rPr>
          <w:b/>
        </w:rPr>
        <w:t xml:space="preserve">outbox</w:t>
      </w:r>
      <w:r>
        <w:t xml:space="preserve"> (or CDC) in every service that emits events; consumers use </w:t>
      </w:r>
      <w:r>
        <w:rPr>
          <w:b/>
        </w:rPr>
        <w:t xml:space="preserve">idempotency tables</w:t>
      </w:r>
      <w:r>
        <w:t xml:space="preserve"> keyed on </w:t>
      </w:r>
      <w:r>
        <w:rPr>
          <w:rStyle w:val="CodeChar"/>
        </w:rPr>
        <w:t xml:space="preserve">(ref_id, event_type, seq)</w:t>
      </w:r>
      <w:r>
        <w:t xml:space="preserve">.</w:t>
      </w:r>
    </w:p>
    <w:p>
      <w:pPr>
        <w:pStyle w:val="ListParagraph"/>
        <w:numPr>
          <w:ilvl w:val="0"/>
          <w:numId w:val="9"/>
        </w:numPr>
      </w:pPr>
      <w:r>
        <w:t xml:space="preserve">Partition Kafka by </w:t>
      </w:r>
      <w:r>
        <w:rPr>
          <w:rStyle w:val="CodeChar"/>
        </w:rPr>
        <w:t xml:space="preserve">(tenant, vault_account)</w:t>
      </w:r>
      <w:r>
        <w:t xml:space="preserve"> so per-account ordering holds.</w:t>
      </w:r>
    </w:p>
    <w:p>
      <w:pPr>
        <w:pStyle w:val="ListParagraph"/>
        <w:numPr>
          <w:ilvl w:val="0"/>
          <w:numId w:val="9"/>
        </w:numPr>
      </w:pPr>
      <w:r>
        <w:t xml:space="preserve">Explicit per-chain finality state machine: </w:t>
      </w:r>
      <w:r>
        <w:rPr>
          <w:rStyle w:val="CodeChar"/>
        </w:rPr>
        <w:t xml:space="preserve">INTENT → APPROVED → SIGNED → BROADCAST → INCLUDED → SAFE → FINALIZED</w:t>
      </w:r>
      <w:r>
        <w:t xml:space="preserve">, with </w:t>
      </w:r>
      <w:r>
        <w:rPr>
          <w:rStyle w:val="CodeChar"/>
        </w:rPr>
        <w:t xml:space="preserve">REORGED</w:t>
      </w:r>
      <w:r>
        <w:t xml:space="preserve"> / </w:t>
      </w:r>
      <w:r>
        <w:rPr>
          <w:rStyle w:val="CodeChar"/>
        </w:rPr>
        <w:t xml:space="preserve">DROPPED</w:t>
      </w:r>
      <w:r>
        <w:t xml:space="preserve"> / </w:t>
      </w:r>
      <w:r>
        <w:rPr>
          <w:rStyle w:val="CodeChar"/>
        </w:rPr>
        <w:t xml:space="preserve">REPLACED</w:t>
      </w:r>
      <w:r>
        <w:t xml:space="preserve"> branches. EVM: use </w:t>
      </w:r>
      <w:r>
        <w:rPr>
          <w:rStyle w:val="CodeChar"/>
        </w:rPr>
        <w:t xml:space="preserve">safe</w:t>
      </w:r>
      <w:r>
        <w:t xml:space="preserve">/</w:t>
      </w:r>
      <w:r>
        <w:rPr>
          <w:rStyle w:val="CodeChar"/>
        </w:rPr>
        <w:t xml:space="preserve">finalized</w:t>
      </w:r>
      <w:r>
        <w:t xml:space="preserve"> block tags; Solana: </w:t>
      </w:r>
      <w:r>
        <w:rPr>
          <w:rStyle w:val="CodeChar"/>
        </w:rPr>
        <w:t xml:space="preserve">confirmed</w:t>
      </w:r>
      <w:r>
        <w:t xml:space="preserve"> vs </w:t>
      </w:r>
      <w:r>
        <w:rPr>
          <w:rStyle w:val="CodeChar"/>
        </w:rPr>
        <w:t xml:space="preserve">finalized</w:t>
      </w:r>
      <w:r>
        <w:t xml:space="preserve"> commitment.</w:t>
      </w:r>
    </w:p>
    <w:p>
      <w:pPr>
        <w:pStyle w:val="ListParagraph"/>
        <w:numPr>
          <w:ilvl w:val="0"/>
          <w:numId w:val="9"/>
        </w:numPr>
      </w:pPr>
      <w:r>
        <w:t xml:space="preserve">Multi-step workflows (tokenization's optional steps, onboarding) run as </w:t>
      </w:r>
      <w:r>
        <w:rPr>
          <w:b/>
        </w:rPr>
        <w:t xml:space="preserve">sagas</w:t>
      </w:r>
      <w:r>
        <w:t xml:space="preserve"> with compensations, ideally on a durable workflow engine (e.g., Temporal) instead of hand-rolled state in each service.</w:t>
      </w:r>
    </w:p>
    <w:p>
      <w:pPr>
        <w:pStyle w:val="Heading3"/>
      </w:pPr>
      <w:r>
        <w:t xml:space="preserve">F5 — One ledger, many projections</w:t>
      </w:r>
    </w:p>
    <w:p>
      <w:pPr/>
      <w:r>
        <w:t xml:space="preserve">Both Token Service and Wallet Service "update holdings". Two writers to balances guarantees divergence eventually.</w:t>
      </w:r>
    </w:p>
    <w:p>
      <w:pPr/>
      <w:r>
        <w:rPr>
          <w:b/>
        </w:rPr>
        <w:t xml:space="preserve">Recommend:</w:t>
      </w:r>
      <w:r>
        <w:t xml:space="preserve"> a single append-only </w:t>
      </w:r>
      <w:r>
        <w:rPr>
          <w:b/>
        </w:rPr>
        <w:t xml:space="preserve">double-entry sub-ledger</w:t>
      </w:r>
      <w:r>
        <w:t xml:space="preserve"> (event-sourced) that is the only writer of positions; Token/Wallet views become read projections. Separate </w:t>
      </w:r>
      <w:r>
        <w:rPr>
          <w:i/>
        </w:rPr>
        <w:t xml:space="preserve">pending</w:t>
      </w:r>
      <w:r>
        <w:t xml:space="preserve"> (reserved on approval) from </w:t>
      </w:r>
      <w:r>
        <w:rPr>
          <w:i/>
        </w:rPr>
        <w:t xml:space="preserve">settled</w:t>
      </w:r>
      <w:r>
        <w:t xml:space="preserve"> (on finality) balances, and post reversal entries on reorg instead of mutating history. This also feeds Back Office Books &amp; Records directly.</w:t>
      </w:r>
    </w:p>
    <w:p>
      <w:pPr>
        <w:pStyle w:val="Heading3"/>
      </w:pPr>
      <w:r>
        <w:t xml:space="preserve">F6 — Custody provider abstraction</w:t>
      </w:r>
    </w:p>
    <w:p>
      <w:pPr/>
      <w:r>
        <w:t xml:space="preserve">The model's Workspace, Vault Acct and TAP are Fireblocks nouns. The cross-shard diagram already shows "Custody Vendor (A)" and "(B)", so multi-vendor seems intended.</w:t>
      </w:r>
    </w:p>
    <w:p>
      <w:pPr/>
      <w:r>
        <w:rPr>
          <w:b/>
        </w:rPr>
        <w:t xml:space="preserve">Recommend:</w:t>
      </w:r>
      <w:r>
        <w:t xml:space="preserve"> a </w:t>
      </w:r>
      <w:r>
        <w:rPr>
          <w:b/>
        </w:rPr>
        <w:t xml:space="preserve">Custody Provider SPI</w:t>
      </w:r>
      <w:r>
        <w:t xml:space="preserve"> (anti-corruption layer) with a canonical model — </w:t>
      </w:r>
      <w:r>
        <w:rPr>
          <w:rStyle w:val="CodeChar"/>
        </w:rPr>
        <w:t xml:space="preserve">KeyRef</w:t>
      </w:r>
      <w:r>
        <w:t xml:space="preserve">, </w:t>
      </w:r>
      <w:r>
        <w:rPr>
          <w:rStyle w:val="CodeChar"/>
        </w:rPr>
        <w:t xml:space="preserve">Account</w:t>
      </w:r>
      <w:r>
        <w:t xml:space="preserve">, </w:t>
      </w:r>
      <w:r>
        <w:rPr>
          <w:rStyle w:val="CodeChar"/>
        </w:rPr>
        <w:t xml:space="preserve">Wallet</w:t>
      </w:r>
      <w:r>
        <w:t xml:space="preserve">, </w:t>
      </w:r>
      <w:r>
        <w:rPr>
          <w:rStyle w:val="CodeChar"/>
        </w:rPr>
        <w:t xml:space="preserve">Address</w:t>
      </w:r>
      <w:r>
        <w:t xml:space="preserve">, </w:t>
      </w:r>
      <w:r>
        <w:rPr>
          <w:rStyle w:val="CodeChar"/>
        </w:rPr>
        <w:t xml:space="preserve">SigningRequest</w:t>
      </w:r>
      <w:r>
        <w:t xml:space="preserve">, </w:t>
      </w:r>
      <w:r>
        <w:rPr>
          <w:rStyle w:val="CodeChar"/>
        </w:rPr>
        <w:t xml:space="preserve">SigningResult</w:t>
      </w:r>
      <w:r>
        <w:t xml:space="preserve"> — and adapters per vendor (Fireblocks first; then a second MPC vendor or in-house HSM signer for specific assets). Plan the </w:t>
      </w:r>
      <w:r>
        <w:rPr>
          <w:b/>
        </w:rPr>
        <w:t xml:space="preserve">exit path</w:t>
      </w:r>
      <w:r>
        <w:t xml:space="preserve"> early: MPC key shares are not portable between vendors, so vendor change usually means new keys plus an asset sweep; design address books and allow-lists to survive that.</w:t>
      </w:r>
    </w:p>
    <w:p>
      <w:pPr>
        <w:pStyle w:val="Heading3"/>
      </w:pPr>
      <w:r>
        <w:t xml:space="preserve">F7 — Take the Platform Registry off the hot path</w:t>
      </w:r>
    </w:p>
    <w:p>
      <w:pPr/>
      <w:r>
        <w:t xml:space="preserve">The settlement flow calls the registry four or more times per transaction (</w:t>
      </w:r>
      <w:r>
        <w:rPr>
          <w:rStyle w:val="CodeChar"/>
        </w:rPr>
        <w:t xml:space="preserve">get_tenant</w:t>
      </w:r>
      <w:r>
        <w:t xml:space="preserve"> ×2, </w:t>
      </w:r>
      <w:r>
        <w:rPr>
          <w:rStyle w:val="CodeChar"/>
        </w:rPr>
        <w:t xml:space="preserve">get_svc_url</w:t>
      </w:r>
      <w:r>
        <w:t xml:space="preserve"> ×2, vault lookup). That makes it a latency and availability choke point.</w:t>
      </w:r>
    </w:p>
    <w:p>
      <w:pPr/>
      <w:r>
        <w:rPr>
          <w:b/>
        </w:rPr>
        <w:t xml:space="preserve">Recommend:</w:t>
      </w:r>
      <w:r>
        <w:t xml:space="preserve"> registry stays the source of truth, but publishes a versioned routing snapshot pushed to sidecars or the dispatcher (xDS-style), with local cache and version pinning per request. Move toward a </w:t>
      </w:r>
      <w:r>
        <w:rPr>
          <w:b/>
        </w:rPr>
        <w:t xml:space="preserve">cell-based</w:t>
      </w:r>
      <w:r>
        <w:t xml:space="preserve"> deployment where each shard is a cell with its own data stores and failure domain.</w:t>
      </w:r>
    </w:p>
    <w:p>
      <w:pPr>
        <w:pStyle w:val="Heading3"/>
      </w:pPr>
      <w:r>
        <w:t xml:space="preserve">F8 — Cross-shard settlement atomicity</w:t>
      </w:r>
    </w:p>
    <w:p>
      <w:pPr/>
      <w:r>
        <w:t xml:space="preserve">One-time whitelist then transfer is two steps across two policy domains. Risks: whitelist left open after a failure, or a race with a concurrent policy change.</w:t>
      </w:r>
    </w:p>
    <w:p>
      <w:pPr/>
      <w:r>
        <w:rPr>
          <w:b/>
        </w:rPr>
        <w:t xml:space="preserve">Recommend:</w:t>
      </w:r>
      <w:r>
        <w:t xml:space="preserve"> whitelist entries bound to </w:t>
      </w:r>
      <w:r>
        <w:rPr>
          <w:rStyle w:val="CodeChar"/>
        </w:rPr>
        <w:t xml:space="preserve">ref_id</w:t>
      </w:r>
      <w:r>
        <w:t xml:space="preserve">, amount and TTL, consumed on use and revoked by saga compensation. For DvP of tokenized assets, prefer on-chain atomicity (settlement contract or HTLC on EVM; Canton's native atomic multi-party transactions) over off-chain sequencing. Where both sides are in MS custody, an </w:t>
      </w:r>
      <w:r>
        <w:rPr>
          <w:b/>
        </w:rPr>
        <w:t xml:space="preserve">internal book transfer</w:t>
      </w:r>
      <w:r>
        <w:t xml:space="preserve"> on the sub-ledger with periodic net on-chain settlement can cut gas and latency.</w:t>
      </w:r>
    </w:p>
    <w:p>
      <w:pPr>
        <w:pStyle w:val="Heading3"/>
      </w:pPr>
      <w:r>
        <w:t xml:space="preserve">F9 — Co-signer availability and key lifecycle</w:t>
      </w:r>
    </w:p>
    <w:p>
      <w:pPr/>
      <w:r>
        <w:t xml:space="preserve">Every signature now needs the MS co-signer, so its uptime caps platform uptime.</w:t>
      </w:r>
    </w:p>
    <w:p>
      <w:pPr/>
      <w:r>
        <w:rPr>
          <w:b/>
        </w:rPr>
        <w:t xml:space="preserve">Recommend:</w:t>
      </w:r>
      <w:r>
        <w:t xml:space="preserve"> active-active co-signers per shard across zones, running in a TEE (SGX / Nitro Enclaves / SEV-SNP, per vendor support) with attestation checked by the callback; documented key-share backup and recovery kit under dual control; periodic proactive share refresh; tested break-glass and DR (RTO for signing).</w:t>
      </w:r>
    </w:p>
    <w:p>
      <w:pPr>
        <w:pStyle w:val="Heading3"/>
      </w:pPr>
      <w:r>
        <w:t xml:space="preserve">F10 — Compliance controls placement</w:t>
      </w:r>
    </w:p>
    <w:p>
      <w:pPr/>
      <w:r>
        <w:t xml:space="preserve">Screening appears in the base platform "or to vendor directly"; KYT sits in Fireblocks.</w:t>
      </w:r>
    </w:p>
    <w:p>
      <w:pPr/>
      <w:r>
        <w:rPr>
          <w:b/>
        </w:rPr>
        <w:t xml:space="preserve">Recommend:</w:t>
      </w:r>
      <w:r>
        <w:t xml:space="preserve"> pre-sign outbound screening (sanctions lists with crypto addresses, risk score) as a PDP input; inbound </w:t>
      </w:r>
      <w:r>
        <w:rPr>
          <w:b/>
        </w:rPr>
        <w:t xml:space="preserve">deposit quarantine</w:t>
      </w:r>
      <w:r>
        <w:t xml:space="preserve"> until screened; </w:t>
      </w:r>
      <w:r>
        <w:rPr>
          <w:b/>
        </w:rPr>
        <w:t xml:space="preserve">Travel Rule</w:t>
      </w:r>
      <w:r>
        <w:t xml:space="preserve"> (FATF R.16) data exchange for transfers to other VASPs; screening verdicts stored with the decision token.</w:t>
      </w:r>
    </w:p>
    <w:p>
      <w:pPr>
        <w:pStyle w:val="Heading3"/>
      </w:pPr>
      <w:r>
        <w:t xml:space="preserve">F11 — Admin actions through the same pipeline</w:t>
      </w:r>
    </w:p>
    <w:p>
      <w:pPr/>
      <w:r>
        <w:t xml:space="preserve">The architecture diagram shows "admin actions" reaching the Co-Signer and TX path. Admin and break-glass operations should be expressed as platform intents, pass the same PDP with stricter quorum, and land in the same audit trail — no side doors.</w:t>
      </w:r>
    </w:p>
    <w:p>
      <w:pPr>
        <w:pStyle w:val="Heading3"/>
      </w:pPr>
      <w:r>
        <w:t xml:space="preserve">F12 — Smart-contract governance</w:t>
      </w:r>
    </w:p>
    <w:p>
      <w:pPr/>
      <w:r>
        <w:t xml:space="preserve">For ERC-20 / ERC-3643 tokens: role separation (minter, burner, pauser, agent, upgrader) held by different vault accounts; upgrades via timelock + multi-approver; ERC-3643 identity registry and compliance modules owned by a defined team; mandatory audit, static analysis (Slither) and invariant fuzzing in CI before CONTRACT-DEPLOY is allowed by policy.</w:t>
      </w:r>
    </w:p>
    <w:p>
      <w:pPr>
        <w:pStyle w:val="Heading3"/>
      </w:pPr>
      <w:r>
        <w:t xml:space="preserve">F13 — Scale to the real bottleneck</w:t>
      </w:r>
    </w:p>
    <w:p>
      <w:pPr/>
      <w:r>
        <w:t xml:space="preserve">Pods scale easily; vendor API rate limits and MPC signing latency (seconds per signature) do not.</w:t>
      </w:r>
    </w:p>
    <w:p>
      <w:pPr/>
      <w:r>
        <w:rPr>
          <w:b/>
        </w:rPr>
        <w:t xml:space="preserve">Recommend:</w:t>
      </w:r>
      <w:r>
        <w:t xml:space="preserve"> per-tenant quotas and priority queues using the existing </w:t>
      </w:r>
      <w:r>
        <w:rPr>
          <w:rStyle w:val="CodeChar"/>
        </w:rPr>
        <w:t xml:space="preserve">urgency</w:t>
      </w:r>
      <w:r>
        <w:t xml:space="preserve"> field; batching and sweeps for deposits; pre-generated deposit address pools; UTXO consolidation in quiet periods; backpressure from TX Service to callers instead of unbounded queues.</w:t>
      </w:r>
    </w:p>
    <w:p>
      <w:pPr>
        <w:pStyle w:val="Heading3"/>
      </w:pPr>
      <w:r>
        <w:t xml:space="preserve">F14 — Gas, nonce and fee sponsorship</w:t>
      </w:r>
    </w:p>
    <w:p>
      <w:pPr/>
      <w:r>
        <w:t xml:space="preserve">The Gas Station funds native assets only. Define nonce ownership per </w:t>
      </w:r>
      <w:r>
        <w:rPr>
          <w:rStyle w:val="CodeChar"/>
        </w:rPr>
        <w:t xml:space="preserve">(chain, address)</w:t>
      </w:r>
      <w:r>
        <w:t xml:space="preserve"> (vendor-managed today, needed if a second signer is added), stuck-tx policy using the existing boost/cancel ops, per-tenant gas budgets, and evaluate ERC-4337 paymasters or EIP-7702 for sponsored gas on client-facing wallets.</w:t>
      </w:r>
    </w:p>
    <w:p>
      <w:pPr>
        <w:pStyle w:val="Heading3"/>
      </w:pPr>
      <w:r>
        <w:t xml:space="preserve">F15 — Reconciliation and audit lineage</w:t>
      </w:r>
    </w:p>
    <w:p>
      <w:pPr/>
      <w:r>
        <w:rPr>
          <w:b/>
        </w:rPr>
        <w:t xml:space="preserve">Recommend:</w:t>
      </w:r>
      <w:r>
        <w:t xml:space="preserve"> daily three-way recon (sub-ledger vs vendor balances vs on-chain) with break workflow; WORM storage for decision tokens and signing records; OpenTelemetry traces propagated with </w:t>
      </w:r>
      <w:r>
        <w:rPr>
          <w:rStyle w:val="CodeChar"/>
        </w:rPr>
        <w:t xml:space="preserve">ref_id</w:t>
      </w:r>
      <w:r>
        <w:t xml:space="preserve"> across HTTP, gRPC and Kafka.</w:t>
      </w:r>
    </w:p>
    <w:p>
      <w:pPr>
        <w:pStyle w:val="Heading2"/>
      </w:pPr>
      <w:r>
        <w:t xml:space="preserve">MPC key management and signing deep-dive</w:t>
      </w:r>
    </w:p>
    <w:p>
      <w:pPr/>
      <w:r>
        <w:t xml:space="preserve">MPC is the right default for hot and warm wallets, but the enterprise posture should be a tiered key strategy — MPC with a bank-held share for operational flows, HSM or air-gapped MPC for cold reserves — with each tier's quorum and recovery spelled out.</w:t>
      </w:r>
    </w:p>
    <w:p>
      <w:pPr>
        <w:pStyle w:val="Heading3"/>
      </w:pPr>
      <w:r>
        <w:t xml:space="preserve">Custody options compared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Approach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Key exists whole?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Chain support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Policy enforced where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Main risks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Best fit in DAP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Threshold MPC (e.g., MPC-CMP for ECDSA, FROST-style for EdDSA)</w:t>
            </w:r>
          </w:p>
        </w:tc>
        <w:tc>
          <w:tcPr>
            <w:tcW w:w="1560" w:type="dxa"/>
          </w:tcPr>
          <w:p>
            <w:pPr/>
            <w:r>
              <w:t xml:space="preserve">Never; shares only</w:t>
            </w:r>
          </w:p>
        </w:tc>
        <w:tc>
          <w:tcPr>
            <w:tcW w:w="1560" w:type="dxa"/>
          </w:tcPr>
          <w:p>
            <w:pPr/>
            <w:r>
              <w:t xml:space="preserve">Chain-agnostic (any curve the protocol supports)</w:t>
            </w:r>
          </w:p>
        </w:tc>
        <w:tc>
          <w:tcPr>
            <w:tcW w:w="1560" w:type="dxa"/>
          </w:tcPr>
          <w:p>
            <w:pPr/>
            <w:r>
              <w:t xml:space="preserve">Off-chain, in co-signers + vendor</w:t>
            </w:r>
          </w:p>
        </w:tc>
        <w:tc>
          <w:tcPr>
            <w:tcW w:w="1560" w:type="dxa"/>
          </w:tcPr>
          <w:p>
            <w:pPr/>
            <w:r>
              <w:t xml:space="preserve">Protocol/implementation bugs, share-holder collusion, vendor dependency</w:t>
            </w:r>
          </w:p>
        </w:tc>
        <w:tc>
          <w:tcPr>
            <w:tcW w:w="1560" w:type="dxa"/>
          </w:tcPr>
          <w:p>
            <w:pPr/>
            <w:r>
              <w:t xml:space="preserve">Hot and warm wallets, high-frequency flows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HSM (FIPS 140-3 L3)</w:t>
            </w:r>
          </w:p>
        </w:tc>
        <w:tc>
          <w:tcPr>
            <w:tcW w:w="1560" w:type="dxa"/>
          </w:tcPr>
          <w:p>
            <w:pPr/>
            <w:r>
              <w:t xml:space="preserve">Inside HSM boundary</w:t>
            </w:r>
          </w:p>
        </w:tc>
        <w:tc>
          <w:tcPr>
            <w:tcW w:w="1560" w:type="dxa"/>
          </w:tcPr>
          <w:p>
            <w:pPr/>
            <w:r>
              <w:t xml:space="preserve">Needs curve support (secp256k1, Ed25519) in firmware</w:t>
            </w:r>
          </w:p>
        </w:tc>
        <w:tc>
          <w:tcPr>
            <w:tcW w:w="1560" w:type="dxa"/>
          </w:tcPr>
          <w:p>
            <w:pPr/>
            <w:r>
              <w:t xml:space="preserve">Off-chain, in wrapper app</w:t>
            </w:r>
          </w:p>
        </w:tc>
        <w:tc>
          <w:tcPr>
            <w:tcW w:w="1560" w:type="dxa"/>
          </w:tcPr>
          <w:p>
            <w:pPr/>
            <w:r>
              <w:t xml:space="preserve">Single key per HSM cluster, firmware curve gaps, ops heavy</w:t>
            </w:r>
          </w:p>
        </w:tc>
        <w:tc>
          <w:tcPr>
            <w:tcW w:w="1560" w:type="dxa"/>
          </w:tcPr>
          <w:p>
            <w:pPr/>
            <w:r>
              <w:t xml:space="preserve">Cold reserves, issuer/admin keys, signing of policy bundles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On-chain multisig (Safe, Squads)</w:t>
            </w:r>
          </w:p>
        </w:tc>
        <w:tc>
          <w:tcPr>
            <w:tcW w:w="1560" w:type="dxa"/>
          </w:tcPr>
          <w:p>
            <w:pPr/>
            <w:r>
              <w:t xml:space="preserve">Several whole keys</w:t>
            </w:r>
          </w:p>
        </w:tc>
        <w:tc>
          <w:tcPr>
            <w:tcW w:w="1560" w:type="dxa"/>
          </w:tcPr>
          <w:p>
            <w:pPr/>
            <w:r>
              <w:t xml:space="preserve">Per-chain contract</w:t>
            </w:r>
          </w:p>
        </w:tc>
        <w:tc>
          <w:tcPr>
            <w:tcW w:w="1560" w:type="dxa"/>
          </w:tcPr>
          <w:p>
            <w:pPr/>
            <w:r>
              <w:t xml:space="preserve">On-chain, transparent</w:t>
            </w:r>
          </w:p>
        </w:tc>
        <w:tc>
          <w:tcPr>
            <w:tcW w:w="1560" w:type="dxa"/>
          </w:tcPr>
          <w:p>
            <w:pPr/>
            <w:r>
              <w:t xml:space="preserve">Per-chain implementation, gas cost, UI blind-signing</w:t>
            </w:r>
          </w:p>
        </w:tc>
        <w:tc>
          <w:tcPr>
            <w:tcW w:w="1560" w:type="dxa"/>
          </w:tcPr>
          <w:p>
            <w:pPr/>
            <w:r>
              <w:t xml:space="preserve">Contract admin roles, treasury governance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Hybrid (MPC share in HSM / TEE)</w:t>
            </w:r>
          </w:p>
        </w:tc>
        <w:tc>
          <w:tcPr>
            <w:tcW w:w="1560" w:type="dxa"/>
          </w:tcPr>
          <w:p>
            <w:pPr/>
            <w:r>
              <w:t xml:space="preserve">Never</w:t>
            </w:r>
          </w:p>
        </w:tc>
        <w:tc>
          <w:tcPr>
            <w:tcW w:w="1560" w:type="dxa"/>
          </w:tcPr>
          <w:p>
            <w:pPr/>
            <w:r>
              <w:t xml:space="preserve">As MPC</w:t>
            </w:r>
          </w:p>
        </w:tc>
        <w:tc>
          <w:tcPr>
            <w:tcW w:w="1560" w:type="dxa"/>
          </w:tcPr>
          <w:p>
            <w:pPr/>
            <w:r>
              <w:t xml:space="preserve">Both</w:t>
            </w:r>
          </w:p>
        </w:tc>
        <w:tc>
          <w:tcPr>
            <w:tcW w:w="1560" w:type="dxa"/>
          </w:tcPr>
          <w:p>
            <w:pPr/>
            <w:r>
              <w:t xml:space="preserve">Integration complexity</w:t>
            </w:r>
          </w:p>
        </w:tc>
        <w:tc>
          <w:tcPr>
            <w:tcW w:w="1560" w:type="dxa"/>
          </w:tcPr>
          <w:p>
            <w:pPr/>
            <w:r>
              <w:t xml:space="preserve">MS co-signer share — recommended</w:t>
            </w:r>
          </w:p>
        </w:tc>
      </w:tr>
    </w:tbl>
    <w:p>
      <w:pPr>
        <w:pStyle w:val="Heading3"/>
      </w:pPr>
      <w:r>
        <w:t xml:space="preserve">Points to confirm in our setup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Threshold and parties.</w:t>
      </w:r>
      <w:r>
        <w:t xml:space="preserve"> For each workspace: n-of-m, which party holds each share (Fireblocks cloud, MS API Co-Signer, mobile/recovery), and whether Fireblocks plus one other party could sign without MS. The answer defines whether MS has a true veto.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Curves per chain.</w:t>
      </w:r>
      <w:r>
        <w:t xml:space="preserve"> EVM and Bitcoin use ECDSA secp256k1; Solana uses Ed25519. Canton external-party signing uses its own key schemes — confirm the vendor's MPC support and whether Canton keys are MPC, HSM or participant-node held.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Known protocol risk.</w:t>
      </w:r>
      <w:r>
        <w:t xml:space="preserve"> 2023 disclosures (BitForge, TSSHOCK) showed implementation flaws in GG18/GG20-family threshold ECDSA libraries. Ask the vendor for protocol version, audit reports, and patch SLAs; avoid in-house threshold crypto.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Share refresh.</w:t>
      </w:r>
      <w:r>
        <w:t xml:space="preserve"> Proactive refresh re-randomises shares without changing the public key, limiting the value of a slowly-exfiltrated share. Define cadence and trigger events (staff exit, incident).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Recovery.</w:t>
      </w:r>
      <w:r>
        <w:t xml:space="preserve"> Who holds the backup/recovery kit, under what dual control, in which jurisdiction, and how often a full recovery drill runs.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Key ceremony evidence.</w:t>
      </w:r>
      <w:r>
        <w:t xml:space="preserve"> The onboarding flow includes an MPC key ceremony; produce signed ceremony transcripts with participant identities, hardware attestations and witnesses for audit.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Key hierarchy.</w:t>
      </w:r>
      <w:r>
        <w:t xml:space="preserve"> If HD derivation (BIP-32/44) is used under MPC, note that non-hardened derivation exposes sibling keys if one child private key leaks; confirm derivation paths per asset.</w:t>
      </w:r>
    </w:p>
    <w:p>
      <w:pPr>
        <w:pStyle w:val="Heading3"/>
      </w:pPr>
      <w:r>
        <w:t xml:space="preserve">Signing-path controls (end to end)</w:t>
      </w:r>
    </w:p>
    <w:p>
      <w:pPr>
        <w:pStyle w:val="ListParagraph"/>
        <w:numPr>
          <w:ilvl w:val="0"/>
          <w:numId w:val="11"/>
        </w:numPr>
      </w:pPr>
      <w:r>
        <w:t xml:space="preserve">Intent signed by BU principal (wiring protocol).</w:t>
      </w:r>
    </w:p>
    <w:p>
      <w:pPr>
        <w:pStyle w:val="ListParagraph"/>
        <w:numPr>
          <w:ilvl w:val="0"/>
          <w:numId w:val="11"/>
        </w:numPr>
      </w:pPr>
      <w:r>
        <w:t xml:space="preserve">PDP decision tokens at intent, built-tx and raw-tx stages (F1).</w:t>
      </w:r>
    </w:p>
    <w:p>
      <w:pPr>
        <w:pStyle w:val="ListParagraph"/>
        <w:numPr>
          <w:ilvl w:val="0"/>
          <w:numId w:val="11"/>
        </w:numPr>
      </w:pPr>
      <w:r>
        <w:t xml:space="preserve">Fireblocks TAP mirror check.</w:t>
      </w:r>
    </w:p>
    <w:p>
      <w:pPr>
        <w:pStyle w:val="ListParagraph"/>
        <w:numPr>
          <w:ilvl w:val="0"/>
          <w:numId w:val="11"/>
        </w:numPr>
      </w:pPr>
      <w:r>
        <w:t xml:space="preserve">Co-signer: verify decision-token chain, decode and simulate Tr, check </w:t>
      </w:r>
      <w:r>
        <w:rPr>
          <w:rStyle w:val="CodeChar"/>
        </w:rPr>
        <w:t xml:space="preserve">H(Tr)</w:t>
      </w:r>
      <w:r>
        <w:t xml:space="preserve">, enforce velocity limits, attest enclave (F2, F9).</w:t>
      </w:r>
    </w:p>
    <w:p>
      <w:pPr>
        <w:pStyle w:val="ListParagraph"/>
        <w:numPr>
          <w:ilvl w:val="0"/>
          <w:numId w:val="11"/>
        </w:numPr>
      </w:pPr>
      <w:r>
        <w:t xml:space="preserve">Threshold signature produced; full signed Ts and decoded view written to WORM audit.</w:t>
      </w:r>
    </w:p>
    <w:p>
      <w:pPr>
        <w:pStyle w:val="Heading2"/>
      </w:pPr>
      <w:r>
        <w:t xml:space="preserve">MCP (Model Context Protocol) agentic access layer</w:t>
      </w:r>
    </w:p>
    <w:p>
      <w:pPr/>
      <w:r>
        <w:t xml:space="preserve">If DAP is to serve AI agents, expose it through an MCP gateway that can only </w:t>
      </w:r>
      <w:r>
        <w:rPr>
          <w:i/>
        </w:rPr>
        <w:t xml:space="preserve">read</w:t>
      </w:r>
      <w:r>
        <w:t xml:space="preserve"> and </w:t>
      </w:r>
      <w:r>
        <w:rPr>
          <w:i/>
        </w:rPr>
        <w:t xml:space="preserve">propose</w:t>
      </w:r>
      <w:r>
        <w:t xml:space="preserve"> — never sign — so an agent is just another policy-bound principal whose intents flow through the same PDP, co-signer and audit trail as any BU call.</w:t>
      </w:r>
    </w:p>
    <w:p>
      <w:pPr>
        <w:pStyle w:val="Heading3"/>
      </w:pPr>
      <w:r>
        <w:t xml:space="preserve">Design principles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Facade, not a new wallet.</w:t>
      </w:r>
      <w:r>
        <w:t xml:space="preserve"> The MCP server is a thin adapter over the blockchain-agnostic API. No keys, no vendor credentials, no direct path to Fireblocks.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Agent as a first-class principal.</w:t>
      </w:r>
      <w:r>
        <w:t xml:space="preserve"> Register each agent in IAA as </w:t>
      </w:r>
      <w:r>
        <w:rPr>
          <w:rStyle w:val="CodeChar"/>
        </w:rPr>
        <w:t xml:space="preserve">principal_type=agent</w:t>
      </w:r>
      <w:r>
        <w:t xml:space="preserve">, bound to a human owner and a BU shard. Policies can then express agent-specific limits (per-tx cap, daily cap, counterparty allow-list, asset allow-list, business hours).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Authorization per MCP spec.</w:t>
      </w:r>
      <w:r>
        <w:t xml:space="preserve"> OAuth 2.1 with short-lived, audience-bound tokens and narrow scopes (</w:t>
      </w:r>
      <w:r>
        <w:rPr>
          <w:rStyle w:val="CodeChar"/>
        </w:rPr>
        <w:t xml:space="preserve">wallet:read</w:t>
      </w:r>
      <w:r>
        <w:t xml:space="preserve">, </w:t>
      </w:r>
      <w:r>
        <w:rPr>
          <w:rStyle w:val="CodeChar"/>
        </w:rPr>
        <w:t xml:space="preserve">tx:propose</w:t>
      </w:r>
      <w:r>
        <w:t xml:space="preserve">, </w:t>
      </w:r>
      <w:r>
        <w:rPr>
          <w:rStyle w:val="CodeChar"/>
        </w:rPr>
        <w:t xml:space="preserve">policy:explain</w:t>
      </w:r>
      <w:r>
        <w:t xml:space="preserve">); token exchange to a DAP API key server-side so agents never hold the signing JWT.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Human-in-the-loop by default.</w:t>
      </w:r>
      <w:r>
        <w:t xml:space="preserve"> Write tools create a </w:t>
      </w:r>
      <w:r>
        <w:rPr>
          <w:i/>
        </w:rPr>
        <w:t xml:space="preserve">draft intent</w:t>
      </w:r>
      <w:r>
        <w:t xml:space="preserve"> returned with a decoded preview; approval happens out-of-band (approver app or MCP elicitation to the human), and the approved intent then enters the normal pipeline.</w:t>
      </w:r>
    </w:p>
    <w:p>
      <w:pPr>
        <w:pStyle w:val="Heading3"/>
      </w:pPr>
      <w:r>
        <w:t xml:space="preserve">Proposed tool surface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Tool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Effect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Scope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Guardrail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get_balances</w:t>
            </w:r>
          </w:p>
        </w:tc>
        <w:tc>
          <w:tcPr>
            <w:tcW w:w="2340" w:type="dxa"/>
          </w:tcPr>
          <w:p>
            <w:pPr/>
            <w:r>
              <w:t xml:space="preserve">Read positions from sub-ledger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wallet:read</w:t>
            </w:r>
          </w:p>
        </w:tc>
        <w:tc>
          <w:tcPr>
            <w:tcW w:w="2340" w:type="dxa"/>
          </w:tcPr>
          <w:p>
            <w:pPr/>
            <w:r>
              <w:t xml:space="preserve">Tenant-scoped, rate limited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get_tx_status</w:t>
            </w:r>
          </w:p>
        </w:tc>
        <w:tc>
          <w:tcPr>
            <w:tcW w:w="2340" w:type="dxa"/>
          </w:tcPr>
          <w:p>
            <w:pPr/>
            <w:r>
              <w:t xml:space="preserve">Read by </w:t>
            </w:r>
            <w:r>
              <w:rPr>
                <w:rStyle w:val="CodeChar"/>
              </w:rPr>
              <w:t xml:space="preserve">ref_id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wallet:read</w:t>
            </w:r>
          </w:p>
        </w:tc>
        <w:tc>
          <w:tcPr>
            <w:tcW w:w="2340" w:type="dxa"/>
          </w:tcPr>
          <w:p>
            <w:pPr/>
            <w:r>
              <w:t xml:space="preserve">Only own principal's txs unless granted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explain_policy</w:t>
            </w:r>
          </w:p>
        </w:tc>
        <w:tc>
          <w:tcPr>
            <w:tcW w:w="2340" w:type="dxa"/>
          </w:tcPr>
          <w:p>
            <w:pPr/>
            <w:r>
              <w:t xml:space="preserve">Dry-run PDP on a hypothetical intent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policy:explain</w:t>
            </w:r>
          </w:p>
        </w:tc>
        <w:tc>
          <w:tcPr>
            <w:tcW w:w="2340" w:type="dxa"/>
          </w:tcPr>
          <w:p>
            <w:pPr/>
            <w:r>
              <w:t xml:space="preserve">No side effects; returns reasons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propose_transfer</w:t>
            </w:r>
          </w:p>
        </w:tc>
        <w:tc>
          <w:tcPr>
            <w:tcW w:w="2340" w:type="dxa"/>
          </w:tcPr>
          <w:p>
            <w:pPr/>
            <w:r>
              <w:t xml:space="preserve">Create draft intent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tx:propose</w:t>
            </w:r>
          </w:p>
        </w:tc>
        <w:tc>
          <w:tcPr>
            <w:tcW w:w="2340" w:type="dxa"/>
          </w:tcPr>
          <w:p>
            <w:pPr/>
            <w:r>
              <w:t xml:space="preserve">Simulated deltas returned; requires human approval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propose_token_action</w:t>
            </w:r>
          </w:p>
        </w:tc>
        <w:tc>
          <w:tcPr>
            <w:tcW w:w="2340" w:type="dxa"/>
          </w:tcPr>
          <w:p>
            <w:pPr/>
            <w:r>
              <w:t xml:space="preserve">Draft mint/burn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tx:propose</w:t>
            </w:r>
          </w:p>
        </w:tc>
        <w:tc>
          <w:tcPr>
            <w:tcW w:w="2340" w:type="dxa"/>
          </w:tcPr>
          <w:p>
            <w:pPr/>
            <w:r>
              <w:t xml:space="preserve">Issuer-role policy + 4-eyes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list_allowlisted_counterparties</w:t>
            </w:r>
          </w:p>
        </w:tc>
        <w:tc>
          <w:tcPr>
            <w:tcW w:w="2340" w:type="dxa"/>
          </w:tcPr>
          <w:p>
            <w:pPr/>
            <w:r>
              <w:t xml:space="preserve">Read address book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wallet:read</w:t>
            </w:r>
          </w:p>
        </w:tc>
        <w:tc>
          <w:tcPr>
            <w:tcW w:w="2340" w:type="dxa"/>
          </w:tcPr>
          <w:p>
            <w:pPr/>
            <w:r>
              <w:t xml:space="preserve">No free-form addresses for write tools</w:t>
            </w:r>
          </w:p>
        </w:tc>
      </w:tr>
    </w:tbl>
    <w:p>
      <w:pPr>
        <w:pStyle w:val="Heading3"/>
      </w:pPr>
      <w:r>
        <w:t xml:space="preserve">Threats specific to agentic access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Prompt injection and tool poisoning.</w:t>
      </w:r>
      <w:r>
        <w:t xml:space="preserve"> Untrusted text (memos, token names, web content) steering the agent to propose a malicious transfer. Mitigation: write tools accept only allow-listed counterparty IDs, not raw addresses; PDP is the authority, never the model.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Confused deputy.</w:t>
      </w:r>
      <w:r>
        <w:t xml:space="preserve"> Agent acting with more authority than its user. Mitigation: token carries the end-user identity; PDP evaluates the intersection of user and agent entitlements.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Runaway loops.</w:t>
      </w:r>
      <w:r>
        <w:t xml:space="preserve"> Mitigation: velocity limits and circuit breakers per agent principal; kill switch in Admin Portal.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Auditability.</w:t>
      </w:r>
      <w:r>
        <w:t xml:space="preserve"> Log the MCP tool-call transcript hash with the intent so audit can see why an agent proposed an action.</w:t>
      </w:r>
    </w:p>
    <w:p>
      <w:pPr/>
      <w:r>
        <w:t xml:space="preserve">Emerging agent-payment standards (for example Coinbase's x402 and Google's AP2) are worth tracking, but for a regulated custodian the gateway pattern above should come first.</w:t>
      </w:r>
    </w:p>
    <w:p>
      <w:pPr>
        <w:pStyle w:val="Heading2"/>
      </w:pPr>
      <w:r>
        <w:t xml:space="preserve">Target-state enterprise architecture and scaling</w:t>
      </w:r>
    </w:p>
    <w:p>
      <w:pPr/>
      <w:r>
        <w:t xml:space="preserve">The target state reorganises the same services into six planes with one rule: every state change enters as a signed intent, passes one PDP, is recorded once in the sub-ledger, and is signed only behind a custody-provider abstraction.</w:t>
      </w:r>
    </w:p>
    <w:p>
      <w:pPr/>
      <w:r>
        <w:drawing>
          <wp:inline distT="0" distB="0" distL="0" distR="0">
            <wp:extent cx="5486400" cy="5772150"/>
            <wp:docPr id="1" name="image1" descr="target-state DAP · six planes + event backbon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target-state DAP · six planes + event backbone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7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target-state DAP · six planes + event backbone</w:t>
      </w:r>
    </w:p>
    <w:p>
      <w:pPr/>
      <w:r>
        <w:t xml:space="preserve">Read top to bottom: an intent enters through the access plane, is routed and orchestrated, approved by one PDP and recorded in the sub-ledger, then signed behind the custody SPI and landed by a chain adapter; every plane emits to the shared event backbone.</w:t>
      </w:r>
    </w:p>
    <w:p>
      <w:pPr>
        <w:pStyle w:val="Heading3"/>
      </w:pPr>
      <w:r>
        <w:t xml:space="preserve">Scaling strategy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Cells, not one big cluster.</w:t>
      </w:r>
      <w:r>
        <w:t xml:space="preserve"> Each shard (BU × environment × region) is a cell with its own databases, Kafka topics and co-signers. A cell failure or noisy BU never affects another. New BUs mean new cells, not bigger ones.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Control plane / data plane split.</w:t>
      </w:r>
      <w:r>
        <w:t xml:space="preserve"> Tenant, registry, PAP and IAA are low-QPS control plane; routing snapshots and policy bundles are pushed to the data plane so hot paths make no synchronous control-plane calls.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Async by default.</w:t>
      </w:r>
      <w:r>
        <w:t xml:space="preserve"> Callers get </w:t>
      </w:r>
      <w:r>
        <w:rPr>
          <w:rStyle w:val="CodeChar"/>
        </w:rPr>
        <w:t xml:space="preserve">ref_id</w:t>
      </w:r>
      <w:r>
        <w:t xml:space="preserve"> immediately; status flows by event or callback. Synchronous paths only for reads and dry-run policy.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Durable orchestration.</w:t>
      </w:r>
      <w:r>
        <w:t xml:space="preserve"> Sagas (tokenization, onboarding, cross-shard settlement) on a workflow engine give retries, timers, compensation and visibility for free.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Chain adapters as plugins.</w:t>
      </w:r>
      <w:r>
        <w:t xml:space="preserve"> One adapter per chain family (EVM, SVM, Canton, UTXO) implementing build, decode, simulate, finality and fee estimation. Adding a chain = one adapter + one custody-provider capability flag.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Own node and indexer infrastructure</w:t>
      </w:r>
      <w:r>
        <w:t xml:space="preserve"> for read paths (balances, events, simulation) instead of relying solely on the vendor, which also gives an independent view for reconciliation.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Multi-region.</w:t>
      </w:r>
      <w:r>
        <w:t xml:space="preserve"> Active-active per jurisdiction, with X-Region as an explicit bridge carrying signed intents, never replicated keys.</w:t>
      </w:r>
    </w:p>
    <w:p>
      <w:pPr>
        <w:pStyle w:val="Heading2"/>
      </w:pPr>
      <w:r>
        <w:t xml:space="preserve">NFR targets and phased roadmap</w:t>
      </w:r>
    </w:p>
    <w:p>
      <w:pPr/>
      <w:r>
        <w:t xml:space="preserve">These are proposed starting targets to validate with product, SRE and risk (Q22); none are agreed figures.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Capability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Proposed target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Measured at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API availability (read + intent intake)</w:t>
            </w:r>
          </w:p>
        </w:tc>
        <w:tc>
          <w:tcPr>
            <w:tcW w:w="3120" w:type="dxa"/>
          </w:tcPr>
          <w:p>
            <w:pPr/>
            <w:r>
              <w:t xml:space="preserve">99.95% per cell</w:t>
            </w:r>
          </w:p>
        </w:tc>
        <w:tc>
          <w:tcPr>
            <w:tcW w:w="3120" w:type="dxa"/>
          </w:tcPr>
          <w:p>
            <w:pPr/>
            <w:r>
              <w:t xml:space="preserve">Ingress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Signing-path availability</w:t>
            </w:r>
          </w:p>
        </w:tc>
        <w:tc>
          <w:tcPr>
            <w:tcW w:w="3120" w:type="dxa"/>
          </w:tcPr>
          <w:p>
            <w:pPr/>
            <w:r>
              <w:t xml:space="preserve">99.9% per cell</w:t>
            </w:r>
          </w:p>
        </w:tc>
        <w:tc>
          <w:tcPr>
            <w:tcW w:w="3120" w:type="dxa"/>
          </w:tcPr>
          <w:p>
            <w:pPr/>
            <w:r>
              <w:t xml:space="preserve">Co-signer + vendor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Intent acceptance latency</w:t>
            </w:r>
          </w:p>
        </w:tc>
        <w:tc>
          <w:tcPr>
            <w:tcW w:w="3120" w:type="dxa"/>
          </w:tcPr>
          <w:p>
            <w:pPr/>
            <w:r>
              <w:t xml:space="preserve">p99 &lt; 300 ms</w:t>
            </w:r>
          </w:p>
        </w:tc>
        <w:tc>
          <w:tcPr>
            <w:tcW w:w="3120" w:type="dxa"/>
          </w:tcPr>
          <w:p>
            <w:pPr/>
            <w:r>
              <w:t xml:space="preserve">Gateway to </w:t>
            </w:r>
            <w:r>
              <w:rPr>
                <w:rStyle w:val="CodeChar"/>
              </w:rPr>
              <w:t xml:space="preserve">ref_id</w:t>
            </w:r>
            <w:r>
              <w:t xml:space="preserve"> returned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Policy decision latency</w:t>
            </w:r>
          </w:p>
        </w:tc>
        <w:tc>
          <w:tcPr>
            <w:tcW w:w="3120" w:type="dxa"/>
          </w:tcPr>
          <w:p>
            <w:pPr/>
            <w:r>
              <w:t xml:space="preserve">p99 &lt; 50 ms</w:t>
            </w:r>
          </w:p>
        </w:tc>
        <w:tc>
          <w:tcPr>
            <w:tcW w:w="3120" w:type="dxa"/>
          </w:tcPr>
          <w:p>
            <w:pPr/>
            <w:r>
              <w:t xml:space="preserve">PDP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Co-signer callback added latency</w:t>
            </w:r>
          </w:p>
        </w:tc>
        <w:tc>
          <w:tcPr>
            <w:tcW w:w="3120" w:type="dxa"/>
          </w:tcPr>
          <w:p>
            <w:pPr/>
            <w:r>
              <w:t xml:space="preserve">p99 &lt; 500 ms incl. simulation</w:t>
            </w:r>
          </w:p>
        </w:tc>
        <w:tc>
          <w:tcPr>
            <w:tcW w:w="3120" w:type="dxa"/>
          </w:tcPr>
          <w:p>
            <w:pPr/>
            <w:r>
              <w:t xml:space="preserve">Co-signer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Ledger RPO / RTO</w:t>
            </w:r>
          </w:p>
        </w:tc>
        <w:tc>
          <w:tcPr>
            <w:tcW w:w="3120" w:type="dxa"/>
          </w:tcPr>
          <w:p>
            <w:pPr/>
            <w:r>
              <w:t xml:space="preserve">0 / 15 min</w:t>
            </w:r>
          </w:p>
        </w:tc>
        <w:tc>
          <w:tcPr>
            <w:tcW w:w="3120" w:type="dxa"/>
          </w:tcPr>
          <w:p>
            <w:pPr/>
            <w:r>
              <w:t xml:space="preserve">Sub-ledger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Signing RTO after region loss</w:t>
            </w:r>
          </w:p>
        </w:tc>
        <w:tc>
          <w:tcPr>
            <w:tcW w:w="3120" w:type="dxa"/>
          </w:tcPr>
          <w:p>
            <w:pPr/>
            <w:r>
              <w:t xml:space="preserve">&lt; 1 h</w:t>
            </w:r>
          </w:p>
        </w:tc>
        <w:tc>
          <w:tcPr>
            <w:tcW w:w="3120" w:type="dxa"/>
          </w:tcPr>
          <w:p>
            <w:pPr/>
            <w:r>
              <w:t xml:space="preserve">DR drill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Reconciliation breaks</w:t>
            </w:r>
          </w:p>
        </w:tc>
        <w:tc>
          <w:tcPr>
            <w:tcW w:w="3120" w:type="dxa"/>
          </w:tcPr>
          <w:p>
            <w:pPr/>
            <w:r>
              <w:t xml:space="preserve">0 unexplained after T+1</w:t>
            </w:r>
          </w:p>
        </w:tc>
        <w:tc>
          <w:tcPr>
            <w:tcW w:w="3120" w:type="dxa"/>
          </w:tcPr>
          <w:p>
            <w:pPr/>
            <w:r>
              <w:t xml:space="preserve">Recon job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Audit retention</w:t>
            </w:r>
          </w:p>
        </w:tc>
        <w:tc>
          <w:tcPr>
            <w:tcW w:w="3120" w:type="dxa"/>
          </w:tcPr>
          <w:p>
            <w:pPr/>
            <w:r>
              <w:t xml:space="preserve">Per records policy, WORM</w:t>
            </w:r>
          </w:p>
        </w:tc>
        <w:tc>
          <w:tcPr>
            <w:tcW w:w="3120" w:type="dxa"/>
          </w:tcPr>
          <w:p>
            <w:pPr/>
            <w:r>
              <w:t xml:space="preserve">Audit store</w:t>
            </w:r>
          </w:p>
        </w:tc>
      </w:tr>
    </w:tbl>
    <w:p>
      <w:pPr/>
      <w:r>
        <w:t xml:space="preserve">The roadmap runs in four phases, each gated on evidence rather than dates.</w:t>
      </w:r>
    </w:p>
    <w:p>
      <w:pPr/>
      <w:r>
        <w:drawing>
          <wp:inline distT="0" distB="0" distL="0" distR="0">
            <wp:extent cx="5486400" cy="2334985"/>
            <wp:docPr id="2" name="image2" descr="proposed roadmap · 4 phases, 3 gate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proposed roadmap · 4 phases, 3 gates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3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proposed roadmap · 4 phases, 3 gates</w:t>
      </w:r>
    </w:p>
    <w:p>
      <w:pPr/>
      <w:r>
        <w:t xml:space="preserve">Phase 0 closes the asset-safety gaps (F2, F3, F9, F15) before any re-platforming; agentic MCP access comes last, once policy and ledger are consolidated.</w:t>
      </w:r>
    </w:p>
    <w:p>
      <w:pPr>
        <w:pStyle w:val="Heading2"/>
      </w:pPr>
      <w:r>
        <w:t xml:space="preserve">Q&amp;A round: questions for the team</w:t>
      </w:r>
    </w:p>
    <w:p>
      <w:pPr/>
      <w:r>
        <w:t xml:space="preserve">Thirty questions to close the gaps I could not resolve from the page; answers fill the right-hand column and may retire or reshape findings.</w:t>
      </w:r>
    </w:p>
    <w:p>
      <w:pPr>
        <w:pStyle w:val="Heading3"/>
      </w:pPr>
      <w:r>
        <w:t xml:space="preserve">Keys, MPC and signing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Question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Why it matters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Answer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Q1</w:t>
            </w:r>
          </w:p>
        </w:tc>
        <w:tc>
          <w:tcPr>
            <w:tcW w:w="2340" w:type="dxa"/>
          </w:tcPr>
          <w:p>
            <w:pPr/>
            <w:r>
              <w:t xml:space="preserve">What is the threshold scheme per workspace, and can Fireblocks + any non-MS party sign without the MS co-signer?</w:t>
            </w:r>
          </w:p>
        </w:tc>
        <w:tc>
          <w:tcPr>
            <w:tcW w:w="2340" w:type="dxa"/>
          </w:tcPr>
          <w:p>
            <w:pPr/>
            <w:r>
              <w:t xml:space="preserve">Defines whether MS holds a real veto</w:t>
            </w:r>
          </w:p>
        </w:tc>
        <w:tc>
          <w:tcPr>
            <w:tcW w:w="2340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Q2</w:t>
            </w:r>
          </w:p>
        </w:tc>
        <w:tc>
          <w:tcPr>
            <w:tcW w:w="2340" w:type="dxa"/>
          </w:tcPr>
          <w:p>
            <w:pPr/>
            <w:r>
              <w:t xml:space="preserve">Is the co-signer key share in HSM, TEE, or plain memory today? Who can access the host?</w:t>
            </w:r>
          </w:p>
        </w:tc>
        <w:tc>
          <w:tcPr>
            <w:tcW w:w="2340" w:type="dxa"/>
          </w:tcPr>
          <w:p>
            <w:pPr/>
            <w:r>
              <w:t xml:space="preserve">Co-signer is the bank's main control (F9)</w:t>
            </w:r>
          </w:p>
        </w:tc>
        <w:tc>
          <w:tcPr>
            <w:tcW w:w="2340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Q3</w:t>
            </w:r>
          </w:p>
        </w:tc>
        <w:tc>
          <w:tcPr>
            <w:tcW w:w="2340" w:type="dxa"/>
          </w:tcPr>
          <w:p>
            <w:pPr/>
            <w:r>
              <w:t xml:space="preserve">What is the co-signer HA model and measured signing RTO?</w:t>
            </w:r>
          </w:p>
        </w:tc>
        <w:tc>
          <w:tcPr>
            <w:tcW w:w="2340" w:type="dxa"/>
          </w:tcPr>
          <w:p>
            <w:pPr/>
            <w:r>
              <w:t xml:space="preserve">Liveness dependency on every tx</w:t>
            </w:r>
          </w:p>
        </w:tc>
        <w:tc>
          <w:tcPr>
            <w:tcW w:w="2340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Q4</w:t>
            </w:r>
          </w:p>
        </w:tc>
        <w:tc>
          <w:tcPr>
            <w:tcW w:w="2340" w:type="dxa"/>
          </w:tcPr>
          <w:p>
            <w:pPr/>
            <w:r>
              <w:t xml:space="preserve">Who holds the recovery kit, under what dual control, and when was the last recovery drill?</w:t>
            </w:r>
          </w:p>
        </w:tc>
        <w:tc>
          <w:tcPr>
            <w:tcW w:w="2340" w:type="dxa"/>
          </w:tcPr>
          <w:p>
            <w:pPr/>
            <w:r>
              <w:t xml:space="preserve">Regulatory and DR evidence</w:t>
            </w:r>
          </w:p>
        </w:tc>
        <w:tc>
          <w:tcPr>
            <w:tcW w:w="2340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Q5</w:t>
            </w:r>
          </w:p>
        </w:tc>
        <w:tc>
          <w:tcPr>
            <w:tcW w:w="2340" w:type="dxa"/>
          </w:tcPr>
          <w:p>
            <w:pPr/>
            <w:r>
              <w:t xml:space="preserve">How are Canton keys handled — MPC, HSM, or participant node?</w:t>
            </w:r>
          </w:p>
        </w:tc>
        <w:tc>
          <w:tcPr>
            <w:tcW w:w="2340" w:type="dxa"/>
          </w:tcPr>
          <w:p>
            <w:pPr/>
            <w:r>
              <w:t xml:space="preserve">Canton differs from EVM/Solana signing</w:t>
            </w:r>
          </w:p>
        </w:tc>
        <w:tc>
          <w:tcPr>
            <w:tcW w:w="2340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Q6</w:t>
            </w:r>
          </w:p>
        </w:tc>
        <w:tc>
          <w:tcPr>
            <w:tcW w:w="2340" w:type="dxa"/>
          </w:tcPr>
          <w:p>
            <w:pPr/>
            <w:r>
              <w:t xml:space="preserve">Does the co-signer decode and simulate Tr independently, or trust Fireblocks' parsed fields?</w:t>
            </w:r>
          </w:p>
        </w:tc>
        <w:tc>
          <w:tcPr>
            <w:tcW w:w="2340" w:type="dxa"/>
          </w:tcPr>
          <w:p>
            <w:pPr/>
            <w:r>
              <w:t xml:space="preserve">WYSIWYS (F2)</w:t>
            </w:r>
          </w:p>
        </w:tc>
        <w:tc>
          <w:tcPr>
            <w:tcW w:w="2340" w:type="dxa"/>
          </w:tcPr>
          <w:p>
            <w:pPr/>
          </w:p>
        </w:tc>
      </w:tr>
    </w:tbl>
    <w:p>
      <w:pPr>
        <w:pStyle w:val="Heading3"/>
      </w:pPr>
      <w:r>
        <w:t xml:space="preserve">Policy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Question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Why it matters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Answer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Q7</w:t>
            </w:r>
          </w:p>
        </w:tc>
        <w:tc>
          <w:tcPr>
            <w:tcW w:w="2340" w:type="dxa"/>
          </w:tcPr>
          <w:p>
            <w:pPr/>
            <w:r>
              <w:t xml:space="preserve">Which policy engine backs Policy Service (OPA, Cedar, custom)? Are policies versioned and signed?</w:t>
            </w:r>
          </w:p>
        </w:tc>
        <w:tc>
          <w:tcPr>
            <w:tcW w:w="2340" w:type="dxa"/>
          </w:tcPr>
          <w:p>
            <w:pPr/>
            <w:r>
              <w:t xml:space="preserve">Consolidation path (F1)</w:t>
            </w:r>
          </w:p>
        </w:tc>
        <w:tc>
          <w:tcPr>
            <w:tcW w:w="2340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Q8</w:t>
            </w:r>
          </w:p>
        </w:tc>
        <w:tc>
          <w:tcPr>
            <w:tcW w:w="2340" w:type="dxa"/>
          </w:tcPr>
          <w:p>
            <w:pPr/>
            <w:r>
              <w:t xml:space="preserve">What does each of business, platform and signing policy check that the others do not?</w:t>
            </w:r>
          </w:p>
        </w:tc>
        <w:tc>
          <w:tcPr>
            <w:tcW w:w="2340" w:type="dxa"/>
          </w:tcPr>
          <w:p>
            <w:pPr/>
            <w:r>
              <w:t xml:space="preserve">Find overlaps and gaps</w:t>
            </w:r>
          </w:p>
        </w:tc>
        <w:tc>
          <w:tcPr>
            <w:tcW w:w="2340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Q9</w:t>
            </w:r>
          </w:p>
        </w:tc>
        <w:tc>
          <w:tcPr>
            <w:tcW w:w="2340" w:type="dxa"/>
          </w:tcPr>
          <w:p>
            <w:pPr/>
            <w:r>
              <w:t xml:space="preserve">How is TAP kept in sync with MS policy? Manual or generated?</w:t>
            </w:r>
          </w:p>
        </w:tc>
        <w:tc>
          <w:tcPr>
            <w:tcW w:w="2340" w:type="dxa"/>
          </w:tcPr>
          <w:p>
            <w:pPr/>
            <w:r>
              <w:t xml:space="preserve">Drift between layers</w:t>
            </w:r>
          </w:p>
        </w:tc>
        <w:tc>
          <w:tcPr>
            <w:tcW w:w="2340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Q10</w:t>
            </w:r>
          </w:p>
        </w:tc>
        <w:tc>
          <w:tcPr>
            <w:tcW w:w="2340" w:type="dxa"/>
          </w:tcPr>
          <w:p>
            <w:pPr/>
            <w:r>
              <w:t xml:space="preserve">How long is a verdict valid, and is it bound to a hash of the tx it approved?</w:t>
            </w:r>
          </w:p>
        </w:tc>
        <w:tc>
          <w:tcPr>
            <w:tcW w:w="2340" w:type="dxa"/>
          </w:tcPr>
          <w:p>
            <w:pPr/>
            <w:r>
              <w:t xml:space="preserve">TOCTOU</w:t>
            </w:r>
          </w:p>
        </w:tc>
        <w:tc>
          <w:tcPr>
            <w:tcW w:w="2340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Q11</w:t>
            </w:r>
          </w:p>
        </w:tc>
        <w:tc>
          <w:tcPr>
            <w:tcW w:w="2340" w:type="dxa"/>
          </w:tcPr>
          <w:p>
            <w:pPr/>
            <w:r>
              <w:t xml:space="preserve">Who can change policy, with what approval, and is there a policy test suite?</w:t>
            </w:r>
          </w:p>
        </w:tc>
        <w:tc>
          <w:tcPr>
            <w:tcW w:w="2340" w:type="dxa"/>
          </w:tcPr>
          <w:p>
            <w:pPr/>
            <w:r>
              <w:t xml:space="preserve">Change-risk governance</w:t>
            </w:r>
          </w:p>
        </w:tc>
        <w:tc>
          <w:tcPr>
            <w:tcW w:w="2340" w:type="dxa"/>
          </w:tcPr>
          <w:p>
            <w:pPr/>
          </w:p>
        </w:tc>
      </w:tr>
    </w:tbl>
    <w:p>
      <w:pPr>
        <w:pStyle w:val="Heading3"/>
      </w:pPr>
      <w:r>
        <w:t xml:space="preserve">Wiring protocol and security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Question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Why it matters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Answer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Q12</w:t>
            </w:r>
          </w:p>
        </w:tc>
        <w:tc>
          <w:tcPr>
            <w:tcW w:w="2340" w:type="dxa"/>
          </w:tcPr>
          <w:p>
            <w:pPr/>
            <w:r>
              <w:t xml:space="preserve">Why RS256 rather than Ed25519/P-256? Where are signing keys held, and how rotated?</w:t>
            </w:r>
          </w:p>
        </w:tc>
        <w:tc>
          <w:tcPr>
            <w:tcW w:w="2340" w:type="dxa"/>
          </w:tcPr>
          <w:p>
            <w:pPr/>
            <w:r>
              <w:t xml:space="preserve">Performance, key mgmt</w:t>
            </w:r>
          </w:p>
        </w:tc>
        <w:tc>
          <w:tcPr>
            <w:tcW w:w="2340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Q13</w:t>
            </w:r>
          </w:p>
        </w:tc>
        <w:tc>
          <w:tcPr>
            <w:tcW w:w="2340" w:type="dxa"/>
          </w:tcPr>
          <w:p>
            <w:pPr/>
            <w:r>
              <w:t xml:space="preserve">How do we prevent replay of a signed message (no timestamp/nonce in headers)?</w:t>
            </w:r>
          </w:p>
        </w:tc>
        <w:tc>
          <w:tcPr>
            <w:tcW w:w="2340" w:type="dxa"/>
          </w:tcPr>
          <w:p>
            <w:pPr/>
            <w:r>
              <w:t xml:space="preserve">F3</w:t>
            </w:r>
          </w:p>
        </w:tc>
        <w:tc>
          <w:tcPr>
            <w:tcW w:w="2340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Q14</w:t>
            </w:r>
          </w:p>
        </w:tc>
        <w:tc>
          <w:tcPr>
            <w:tcW w:w="2340" w:type="dxa"/>
          </w:tcPr>
          <w:p>
            <w:pPr/>
            <w:r>
              <w:t xml:space="preserve">Is </w:t>
            </w:r>
            <w:r>
              <w:rPr>
                <w:rStyle w:val="CodeChar"/>
              </w:rPr>
              <w:t xml:space="preserve">x-dap-msgtype</w:t>
            </w:r>
            <w:r>
              <w:t xml:space="preserve"> bound into the signature anywhere?</w:t>
            </w:r>
          </w:p>
        </w:tc>
        <w:tc>
          <w:tcPr>
            <w:tcW w:w="2340" w:type="dxa"/>
          </w:tcPr>
          <w:p>
            <w:pPr/>
            <w:r>
              <w:t xml:space="preserve">Header substitution</w:t>
            </w:r>
          </w:p>
        </w:tc>
        <w:tc>
          <w:tcPr>
            <w:tcW w:w="2340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Q15</w:t>
            </w:r>
          </w:p>
        </w:tc>
        <w:tc>
          <w:tcPr>
            <w:tcW w:w="2340" w:type="dxa"/>
          </w:tcPr>
          <w:p>
            <w:pPr/>
            <w:r>
              <w:t xml:space="preserve">Is mTLS / workload identity used between services, or only message signatures?</w:t>
            </w:r>
          </w:p>
        </w:tc>
        <w:tc>
          <w:tcPr>
            <w:tcW w:w="2340" w:type="dxa"/>
          </w:tcPr>
          <w:p>
            <w:pPr/>
            <w:r>
              <w:t xml:space="preserve">Defense in depth</w:t>
            </w:r>
          </w:p>
        </w:tc>
        <w:tc>
          <w:tcPr>
            <w:tcW w:w="2340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Q16</w:t>
            </w:r>
          </w:p>
        </w:tc>
        <w:tc>
          <w:tcPr>
            <w:tcW w:w="2340" w:type="dxa"/>
          </w:tcPr>
          <w:p>
            <w:pPr/>
            <w:r>
              <w:t xml:space="preserve">Is </w:t>
            </w:r>
            <w:r>
              <w:rPr>
                <w:rStyle w:val="CodeChar"/>
              </w:rPr>
              <w:t xml:space="preserve">x-dap-api-key</w:t>
            </w:r>
            <w:r>
              <w:t xml:space="preserve"> JWT short-lived, and how is it revoked?</w:t>
            </w:r>
          </w:p>
        </w:tc>
        <w:tc>
          <w:tcPr>
            <w:tcW w:w="2340" w:type="dxa"/>
          </w:tcPr>
          <w:p>
            <w:pPr/>
            <w:r>
              <w:t xml:space="preserve">Credential compromise</w:t>
            </w:r>
          </w:p>
        </w:tc>
        <w:tc>
          <w:tcPr>
            <w:tcW w:w="2340" w:type="dxa"/>
          </w:tcPr>
          <w:p>
            <w:pPr/>
          </w:p>
        </w:tc>
      </w:tr>
    </w:tbl>
    <w:p>
      <w:pPr>
        <w:pStyle w:val="Heading3"/>
      </w:pPr>
      <w:r>
        <w:t xml:space="preserve">Data, events and ledger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Question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Why it matters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Answer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Q17</w:t>
            </w:r>
          </w:p>
        </w:tc>
        <w:tc>
          <w:tcPr>
            <w:tcW w:w="2340" w:type="dxa"/>
          </w:tcPr>
          <w:p>
            <w:pPr/>
            <w:r>
              <w:t xml:space="preserve">Which service is the system of record for balances — Token, Wallet, or Back Office?</w:t>
            </w:r>
          </w:p>
        </w:tc>
        <w:tc>
          <w:tcPr>
            <w:tcW w:w="2340" w:type="dxa"/>
          </w:tcPr>
          <w:p>
            <w:pPr/>
            <w:r>
              <w:t xml:space="preserve">F5</w:t>
            </w:r>
          </w:p>
        </w:tc>
        <w:tc>
          <w:tcPr>
            <w:tcW w:w="2340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Q18</w:t>
            </w:r>
          </w:p>
        </w:tc>
        <w:tc>
          <w:tcPr>
            <w:tcW w:w="2340" w:type="dxa"/>
          </w:tcPr>
          <w:p>
            <w:pPr/>
            <w:r>
              <w:t xml:space="preserve">Do services use a transactional outbox, and are consumers idempotent on </w:t>
            </w:r>
            <w:r>
              <w:rPr>
                <w:rStyle w:val="CodeChar"/>
              </w:rPr>
              <w:t xml:space="preserve">ref_id</w:t>
            </w:r>
            <w:r>
              <w:t xml:space="preserve">?</w:t>
            </w:r>
          </w:p>
        </w:tc>
        <w:tc>
          <w:tcPr>
            <w:tcW w:w="2340" w:type="dxa"/>
          </w:tcPr>
          <w:p>
            <w:pPr/>
            <w:r>
              <w:t xml:space="preserve">F4</w:t>
            </w:r>
          </w:p>
        </w:tc>
        <w:tc>
          <w:tcPr>
            <w:tcW w:w="2340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Q19</w:t>
            </w:r>
          </w:p>
        </w:tc>
        <w:tc>
          <w:tcPr>
            <w:tcW w:w="2340" w:type="dxa"/>
          </w:tcPr>
          <w:p>
            <w:pPr/>
            <w:r>
              <w:t xml:space="preserve">What confirmation/finality rule is applied per chain, and how is a reorg reversed downstream?</w:t>
            </w:r>
          </w:p>
        </w:tc>
        <w:tc>
          <w:tcPr>
            <w:tcW w:w="2340" w:type="dxa"/>
          </w:tcPr>
          <w:p>
            <w:pPr/>
            <w:r>
              <w:t xml:space="preserve">Credit risk</w:t>
            </w:r>
          </w:p>
        </w:tc>
        <w:tc>
          <w:tcPr>
            <w:tcW w:w="2340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Q20</w:t>
            </w:r>
          </w:p>
        </w:tc>
        <w:tc>
          <w:tcPr>
            <w:tcW w:w="2340" w:type="dxa"/>
          </w:tcPr>
          <w:p>
            <w:pPr/>
            <w:r>
              <w:t xml:space="preserve">How is Kafka partitioned, and is per-account ordering guaranteed?</w:t>
            </w:r>
          </w:p>
        </w:tc>
        <w:tc>
          <w:tcPr>
            <w:tcW w:w="2340" w:type="dxa"/>
          </w:tcPr>
          <w:p>
            <w:pPr/>
            <w:r>
              <w:t xml:space="preserve">Consistency</w:t>
            </w:r>
          </w:p>
        </w:tc>
        <w:tc>
          <w:tcPr>
            <w:tcW w:w="2340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Q21</w:t>
            </w:r>
          </w:p>
        </w:tc>
        <w:tc>
          <w:tcPr>
            <w:tcW w:w="2340" w:type="dxa"/>
          </w:tcPr>
          <w:p>
            <w:pPr/>
            <w:r>
              <w:t xml:space="preserve">Is there a three-way recon (ledger / vendor / chain) today, and who owns breaks?</w:t>
            </w:r>
          </w:p>
        </w:tc>
        <w:tc>
          <w:tcPr>
            <w:tcW w:w="2340" w:type="dxa"/>
          </w:tcPr>
          <w:p>
            <w:pPr/>
            <w:r>
              <w:t xml:space="preserve">Audit</w:t>
            </w:r>
          </w:p>
        </w:tc>
        <w:tc>
          <w:tcPr>
            <w:tcW w:w="2340" w:type="dxa"/>
          </w:tcPr>
          <w:p>
            <w:pPr/>
          </w:p>
        </w:tc>
      </w:tr>
    </w:tbl>
    <w:p>
      <w:pPr>
        <w:pStyle w:val="Heading3"/>
      </w:pPr>
      <w:r>
        <w:t xml:space="preserve">Tenancy, routing and scale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Question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Why it matters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Answer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Q22</w:t>
            </w:r>
          </w:p>
        </w:tc>
        <w:tc>
          <w:tcPr>
            <w:tcW w:w="2340" w:type="dxa"/>
          </w:tcPr>
          <w:p>
            <w:pPr/>
            <w:r>
              <w:t xml:space="preserve">What are target TPS, p99 latency and number of shards for year 1 and year 3?</w:t>
            </w:r>
          </w:p>
        </w:tc>
        <w:tc>
          <w:tcPr>
            <w:tcW w:w="2340" w:type="dxa"/>
          </w:tcPr>
          <w:p>
            <w:pPr/>
            <w:r>
              <w:t xml:space="preserve">Sizing (F13)</w:t>
            </w:r>
          </w:p>
        </w:tc>
        <w:tc>
          <w:tcPr>
            <w:tcW w:w="2340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Q23</w:t>
            </w:r>
          </w:p>
        </w:tc>
        <w:tc>
          <w:tcPr>
            <w:tcW w:w="2340" w:type="dxa"/>
          </w:tcPr>
          <w:p>
            <w:pPr/>
            <w:r>
              <w:t xml:space="preserve">What are Fireblocks API rate limits per workspace, and have we load-tested against them?</w:t>
            </w:r>
          </w:p>
        </w:tc>
        <w:tc>
          <w:tcPr>
            <w:tcW w:w="2340" w:type="dxa"/>
          </w:tcPr>
          <w:p>
            <w:pPr/>
            <w:r>
              <w:t xml:space="preserve">Real bottleneck</w:t>
            </w:r>
          </w:p>
        </w:tc>
        <w:tc>
          <w:tcPr>
            <w:tcW w:w="2340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Q24</w:t>
            </w:r>
          </w:p>
        </w:tc>
        <w:tc>
          <w:tcPr>
            <w:tcW w:w="2340" w:type="dxa"/>
          </w:tcPr>
          <w:p>
            <w:pPr/>
            <w:r>
              <w:t xml:space="preserve">Is Platform Registry cached at the caller? What happens if it is down?</w:t>
            </w:r>
          </w:p>
        </w:tc>
        <w:tc>
          <w:tcPr>
            <w:tcW w:w="2340" w:type="dxa"/>
          </w:tcPr>
          <w:p>
            <w:pPr/>
            <w:r>
              <w:t xml:space="preserve">F7</w:t>
            </w:r>
          </w:p>
        </w:tc>
        <w:tc>
          <w:tcPr>
            <w:tcW w:w="2340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Q25</w:t>
            </w:r>
          </w:p>
        </w:tc>
        <w:tc>
          <w:tcPr>
            <w:tcW w:w="2340" w:type="dxa"/>
          </w:tcPr>
          <w:p>
            <w:pPr/>
            <w:r>
              <w:t xml:space="preserve">How does X-Region interact with data residency (e.g., EU vs US client data)?</w:t>
            </w:r>
          </w:p>
        </w:tc>
        <w:tc>
          <w:tcPr>
            <w:tcW w:w="2340" w:type="dxa"/>
          </w:tcPr>
          <w:p>
            <w:pPr/>
            <w:r>
              <w:t xml:space="preserve">Jurisdictional isolation</w:t>
            </w:r>
          </w:p>
        </w:tc>
        <w:tc>
          <w:tcPr>
            <w:tcW w:w="2340" w:type="dxa"/>
          </w:tcPr>
          <w:p>
            <w:pPr/>
          </w:p>
        </w:tc>
      </w:tr>
    </w:tbl>
    <w:p>
      <w:pPr>
        <w:pStyle w:val="Heading3"/>
      </w:pPr>
      <w:r>
        <w:t xml:space="preserve">Vendor, compliance and roadmap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Question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Why it matters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Answer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Q26</w:t>
            </w:r>
          </w:p>
        </w:tc>
        <w:tc>
          <w:tcPr>
            <w:tcW w:w="2340" w:type="dxa"/>
          </w:tcPr>
          <w:p>
            <w:pPr/>
            <w:r>
              <w:t xml:space="preserve">Is a second custody vendor or in-house signer planned? What is the exit plan from Fireblocks?</w:t>
            </w:r>
          </w:p>
        </w:tc>
        <w:tc>
          <w:tcPr>
            <w:tcW w:w="2340" w:type="dxa"/>
          </w:tcPr>
          <w:p>
            <w:pPr/>
            <w:r>
              <w:t xml:space="preserve">F6, concentration risk</w:t>
            </w:r>
          </w:p>
        </w:tc>
        <w:tc>
          <w:tcPr>
            <w:tcW w:w="2340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Q27</w:t>
            </w:r>
          </w:p>
        </w:tc>
        <w:tc>
          <w:tcPr>
            <w:tcW w:w="2340" w:type="dxa"/>
          </w:tcPr>
          <w:p>
            <w:pPr/>
            <w:r>
              <w:t xml:space="preserve">Where do sanctions screening, KYT and Travel Rule run, and are deposits quarantined?</w:t>
            </w:r>
          </w:p>
        </w:tc>
        <w:tc>
          <w:tcPr>
            <w:tcW w:w="2340" w:type="dxa"/>
          </w:tcPr>
          <w:p>
            <w:pPr/>
            <w:r>
              <w:t xml:space="preserve">F10</w:t>
            </w:r>
          </w:p>
        </w:tc>
        <w:tc>
          <w:tcPr>
            <w:tcW w:w="2340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Q28</w:t>
            </w:r>
          </w:p>
        </w:tc>
        <w:tc>
          <w:tcPr>
            <w:tcW w:w="2340" w:type="dxa"/>
          </w:tcPr>
          <w:p>
            <w:pPr/>
            <w:r>
              <w:t xml:space="preserve">What is the smart-contract upgrade and admin-role model for issued tokens?</w:t>
            </w:r>
          </w:p>
        </w:tc>
        <w:tc>
          <w:tcPr>
            <w:tcW w:w="2340" w:type="dxa"/>
          </w:tcPr>
          <w:p>
            <w:pPr/>
            <w:r>
              <w:t xml:space="preserve">F12</w:t>
            </w:r>
          </w:p>
        </w:tc>
        <w:tc>
          <w:tcPr>
            <w:tcW w:w="2340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Q29</w:t>
            </w:r>
          </w:p>
        </w:tc>
        <w:tc>
          <w:tcPr>
            <w:tcW w:w="2340" w:type="dxa"/>
          </w:tcPr>
          <w:p>
            <w:pPr/>
            <w:r>
              <w:t xml:space="preserve">What does "MCP wallet" mean to stakeholders — MPC custody, or AI-agent access via Model Context Protocol?</w:t>
            </w:r>
          </w:p>
        </w:tc>
        <w:tc>
          <w:tcPr>
            <w:tcW w:w="2340" w:type="dxa"/>
          </w:tcPr>
          <w:p>
            <w:pPr/>
            <w:r>
              <w:t xml:space="preserve">Scope of this work</w:t>
            </w:r>
          </w:p>
        </w:tc>
        <w:tc>
          <w:tcPr>
            <w:tcW w:w="2340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Q30</w:t>
            </w:r>
          </w:p>
        </w:tc>
        <w:tc>
          <w:tcPr>
            <w:tcW w:w="2340" w:type="dxa"/>
          </w:tcPr>
          <w:p>
            <w:pPr/>
            <w:r>
              <w:t xml:space="preserve">Which regulators and frameworks are in scope (e.g., OCC, NYDFS, SOC 2, internal tech risk), and what evidence do they expect?</w:t>
            </w:r>
          </w:p>
        </w:tc>
        <w:tc>
          <w:tcPr>
            <w:tcW w:w="2340" w:type="dxa"/>
          </w:tcPr>
          <w:p>
            <w:pPr/>
            <w:r>
              <w:t xml:space="preserve">Shapes audit design</w:t>
            </w:r>
          </w:p>
        </w:tc>
        <w:tc>
          <w:tcPr>
            <w:tcW w:w="2340" w:type="dxa"/>
          </w:tcPr>
          <w:p>
            <w:pPr/>
          </w:p>
        </w:tc>
      </w:tr>
    </w:tbl>
    <w:p>
      <w:pPr>
        <w:pStyle w:val="Heading2"/>
      </w:pPr>
      <w:r>
        <w:t xml:space="preserve">Proposed next steps and spikes</w:t>
      </w:r>
    </w:p>
    <w:p>
      <w:pPr/>
      <w:r>
        <w:t xml:space="preserve">I'd suggest starting with a Q&amp;A session on Q1–Q21, then three short spikes that de-risk the high-priority findings before any re-architecture.</w:t>
      </w:r>
    </w:p>
    <w:p>
      <w:pPr>
        <w:pStyle w:val="ListParagraph"/>
        <w:numPr>
          <w:ilvl w:val="0"/>
          <w:numId w:val="15"/>
        </w:numPr>
      </w:pPr>
      <w:r>
        <w:t xml:space="preserve">☐ Walk through this doc with the architecture owners; record answers in the Q&amp;A tables</w:t>
      </w:r>
    </w:p>
    <w:p>
      <w:pPr>
        <w:pStyle w:val="ListParagraph"/>
        <w:numPr>
          <w:ilvl w:val="0"/>
          <w:numId w:val="15"/>
        </w:numPr>
      </w:pPr>
      <w:r>
        <w:t xml:space="preserve">☐ </w:t>
      </w:r>
      <w:r>
        <w:rPr>
          <w:b/>
        </w:rPr>
        <w:t xml:space="preserve">Spike A — Co-signer WYSIWYS (F2):</w:t>
      </w:r>
      <w:r>
        <w:t xml:space="preserve"> prototype EVM calldata decode + forked simulation inside the co-signer callback for an ERC-20 transfer and an ERC-3643 mint; measure added latency</w:t>
      </w:r>
    </w:p>
    <w:p>
      <w:pPr>
        <w:pStyle w:val="ListParagraph"/>
        <w:numPr>
          <w:ilvl w:val="0"/>
          <w:numId w:val="15"/>
        </w:numPr>
      </w:pPr>
      <w:r>
        <w:t xml:space="preserve">☐ </w:t>
      </w:r>
      <w:r>
        <w:rPr>
          <w:b/>
        </w:rPr>
        <w:t xml:space="preserve">Spike B — Decision tokens (F1):</w:t>
      </w:r>
      <w:r>
        <w:t xml:space="preserve"> model business + platform policy in OPA or Cedar for one flow; emit signed decision tokens bound to </w:t>
      </w:r>
      <w:r>
        <w:rPr>
          <w:rStyle w:val="CodeChar"/>
        </w:rPr>
        <w:t xml:space="preserve">H(tx)</w:t>
      </w:r>
      <w:r>
        <w:t xml:space="preserve">; have the co-signer verify the chain</w:t>
      </w:r>
    </w:p>
    <w:p>
      <w:pPr>
        <w:pStyle w:val="ListParagraph"/>
        <w:numPr>
          <w:ilvl w:val="0"/>
          <w:numId w:val="15"/>
        </w:numPr>
      </w:pPr>
      <w:r>
        <w:t xml:space="preserve">☐ </w:t>
      </w:r>
      <w:r>
        <w:rPr>
          <w:b/>
        </w:rPr>
        <w:t xml:space="preserve">Spike C — Wiring protocol v2 (F3):</w:t>
      </w:r>
      <w:r>
        <w:t xml:space="preserve"> extend signature base with service, msgtype, created, nonce, aud; benchmark Ed25519 vs RS256 verify on the dispatcher</w:t>
      </w:r>
    </w:p>
    <w:p>
      <w:pPr>
        <w:pStyle w:val="ListParagraph"/>
        <w:numPr>
          <w:ilvl w:val="0"/>
          <w:numId w:val="15"/>
        </w:numPr>
      </w:pPr>
      <w:r>
        <w:t xml:space="preserve">☐ Draft the Custody Provider SPI interface (F6) and review against a second vendor's API</w:t>
      </w:r>
    </w:p>
    <w:p>
      <w:pPr>
        <w:pStyle w:val="ListParagraph"/>
        <w:numPr>
          <w:ilvl w:val="0"/>
          <w:numId w:val="15"/>
        </w:numPr>
      </w:pPr>
      <w:r>
        <w:t xml:space="preserve">☐ Define the sub-ledger ownership decision (F5) as an ADR</w:t>
      </w:r>
    </w:p>
    <w:p>
      <w:pPr>
        <w:pStyle w:val="ListParagraph"/>
        <w:numPr>
          <w:ilvl w:val="0"/>
          <w:numId w:val="15"/>
        </w:numPr>
      </w:pPr>
      <w:r>
        <w:t xml:space="preserve">☐ Agree NFR targets with product and SRE</w:t>
      </w:r>
    </w:p>
    <w:p>
      <w:pPr>
        <w:pStyle w:val="ListParagraph"/>
        <w:numPr>
          <w:ilvl w:val="0"/>
          <w:numId w:val="15"/>
        </w:numPr>
      </w:pPr>
      <w:r>
        <w:t xml:space="preserve">☐ Confirm the meaning of "MCP wallet" (Q29) and, if agentic, write an MCP gateway threat model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1"/>
    <w:lvlOverride w:ilvl="0">
      <w:startOverride w:val="1"/>
    </w:lvlOverride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1"/>
    <w:lvlOverride w:ilvl="0">
      <w:startOverride w:val="1"/>
    </w:lvlOverride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Relationship Id="rId4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DAP Wallet Infrastructure – Architecture Review &amp; Recommendations (Draft v0.1)</dc:title>
  <dc:description>Claude Docs node/423920d2-5a33@13 docx-w6</dc:description>
  <cp:revision>13</cp:revision>
</cp:coreProperties>
</file>