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DAP BFF Architecture (Draft v0.1)</w:t>
      </w:r>
    </w:p>
    <w:p>
      <w:pPr/>
      <w:r>
        <w:t xml:space="preserve">Oct 9, 2026</w:t>
      </w:r>
      <w:r>
        <w:t xml:space="preserve"> · </w:t>
      </w:r>
      <w:r>
        <w:t xml:space="preserve">@Rahul Pandey</w:t>
      </w:r>
    </w:p>
    <w:p>
      <w:pPr>
        <w:pStyle w:val="Heading2"/>
      </w:pPr>
      <w:r>
        <w:t xml:space="preserve">Summary</w:t>
      </w:r>
    </w:p>
    <w:p>
      <w:pPr/>
      <w:r>
        <w:t xml:space="preserve">DAP should expose one thin BFF per experience — Ops Console, Approver, BU Desk, Back Office and Client Wallet — each shaping data, sessions and entitlements for its own users, while all of them submit the same signed platform intents and read the same CQRS projections. No BFF holds policy, ledger, chain or signing logic.</w:t>
      </w:r>
    </w:p>
    <w:p>
      <w:pPr/>
      <w:r>
        <w:t xml:space="preserve">This is a companion to the DAP architecture review; it assumes that doc's target state (single PDP, sub-ledger, custody SPI, event backbone).</w:t>
      </w:r>
    </w:p>
    <w:p>
      <w:pPr>
        <w:pStyle w:val="Heading3"/>
      </w:pPr>
      <w:r>
        <w:t xml:space="preserve">Why a BFF layer</w:t>
      </w:r>
    </w:p>
    <w:p>
      <w:pPr>
        <w:pStyle w:val="ListParagraph"/>
        <w:numPr>
          <w:ilvl w:val="0"/>
          <w:numId w:val="2"/>
        </w:numPr>
      </w:pPr>
      <w:r>
        <w:rPr>
          <w:b/>
        </w:rPr>
        <w:t xml:space="preserve">Very different consumers.</w:t>
      </w:r>
      <w:r>
        <w:t xml:space="preserve"> A DAP ops engineer onboarding a shard, a compliance approver on mobile, a WM advisor desk and a back-office reconciler need different payloads, auth flows and latency profiles. One generic API forces every client to over-fetch and re-implement aggregation.</w:t>
      </w:r>
    </w:p>
    <w:p>
      <w:pPr>
        <w:pStyle w:val="ListParagraph"/>
        <w:numPr>
          <w:ilvl w:val="0"/>
          <w:numId w:val="2"/>
        </w:numPr>
      </w:pPr>
      <w:r>
        <w:rPr>
          <w:b/>
        </w:rPr>
        <w:t xml:space="preserve">Keep secrets out of browsers and devices.</w:t>
      </w:r>
      <w:r>
        <w:t xml:space="preserve"> DAP's </w:t>
      </w:r>
      <w:r>
        <w:rPr>
          <w:rStyle w:val="CodeChar"/>
        </w:rPr>
        <w:t xml:space="preserve">x-dap-api-key</w:t>
      </w:r>
      <w:r>
        <w:t xml:space="preserve"> and message-signing keys must never reach a client. The BFF is the token-exchange and intent-signing boundary for human channels.</w:t>
      </w:r>
    </w:p>
    <w:p>
      <w:pPr>
        <w:pStyle w:val="ListParagraph"/>
        <w:numPr>
          <w:ilvl w:val="0"/>
          <w:numId w:val="2"/>
        </w:numPr>
      </w:pPr>
      <w:r>
        <w:rPr>
          <w:b/>
        </w:rPr>
        <w:t xml:space="preserve">Entitlements by experience.</w:t>
      </w:r>
      <w:r>
        <w:t xml:space="preserve"> A WM desk must not see ISG positions (Chinese wall). Field-level filtering and masking belong in the BFF, and DAP enforces them again.</w:t>
      </w:r>
    </w:p>
    <w:p>
      <w:pPr>
        <w:pStyle w:val="ListParagraph"/>
        <w:numPr>
          <w:ilvl w:val="0"/>
          <w:numId w:val="2"/>
        </w:numPr>
      </w:pPr>
      <w:r>
        <w:rPr>
          <w:b/>
        </w:rPr>
        <w:t xml:space="preserve">Real-time UX.</w:t>
      </w:r>
      <w:r>
        <w:t xml:space="preserve"> The tx lifecycle (</w:t>
      </w:r>
      <w:r>
        <w:rPr>
          <w:rStyle w:val="CodeChar"/>
        </w:rPr>
        <w:t xml:space="preserve">SIGNED → BROADCAST → FINALIZED</w:t>
      </w:r>
      <w:r>
        <w:t xml:space="preserve">) is event-driven; BFFs turn backbone events into SSE or WebSocket pushes per user.</w:t>
      </w:r>
    </w:p>
    <w:p>
      <w:pPr>
        <w:pStyle w:val="ListParagraph"/>
        <w:numPr>
          <w:ilvl w:val="0"/>
          <w:numId w:val="2"/>
        </w:numPr>
      </w:pPr>
      <w:r>
        <w:rPr>
          <w:b/>
        </w:rPr>
        <w:t xml:space="preserve">Independent delivery.</w:t>
      </w:r>
      <w:r>
        <w:t xml:space="preserve"> Each frontend team ships its BFF on its own cadence without changing DAP core APIs.</w:t>
      </w:r>
    </w:p>
    <w:p>
      <w:pPr>
        <w:pStyle w:val="Heading2"/>
      </w:pPr>
      <w:r>
        <w:t xml:space="preserve">Architecture</w:t>
      </w:r>
    </w:p>
    <w:p>
      <w:pPr/>
      <w:r>
        <w:drawing>
          <wp:inline distT="0" distB="0" distL="0" distR="0">
            <wp:extent cx="5486400" cy="3371850"/>
            <wp:docPr id="1" name="image1" descr="BFF layer · 5 experiences in front of DAP"/>
            <a:graphic xmlns:a="http://schemas.openxmlformats.org/drawingml/2006/main">
              <a:graphicData uri="http://schemas.openxmlformats.org/drawingml/2006/picture">
                <pic:pic xmlns:pic="http://schemas.openxmlformats.org/drawingml/2006/picture">
                  <pic:nvPicPr>
                    <pic:cNvPr id="1" name="image1" descr="BFF layer · 5 experiences in front of DAP"/>
                    <pic:cNvPicPr/>
                  </pic:nvPicPr>
                  <pic:blipFill>
                    <a:blip r:embed="rId3"/>
                    <a:stretch>
                      <a:fillRect/>
                    </a:stretch>
                  </pic:blipFill>
                  <pic:spPr>
                    <a:xfrm>
                      <a:off x="0" y="0"/>
                      <a:ext cx="5486400" cy="3371850"/>
                    </a:xfrm>
                    <a:prstGeom prst="rect">
                      <a:avLst/>
                    </a:prstGeom>
                  </pic:spPr>
                </pic:pic>
              </a:graphicData>
            </a:graphic>
          </wp:inline>
        </w:drawing>
      </w:r>
    </w:p>
    <w:p>
      <w:pPr/>
      <w:r>
        <w:t xml:space="preserve">BFF layer · 5 experiences in front of DAP</w:t>
      </w:r>
    </w:p>
    <w:p>
      <w:pPr/>
      <w:r>
        <w:t xml:space="preserve">Each client talks only to its own BFF; BFFs reach DAP through one gateway, write only via the Intent service, read from projections, and receive status pushes from the event backbone. The PDP, sub-ledger, co-signer and custody layer sit behind the Intent service and are never reachable from a BFF.</w:t>
      </w:r>
    </w:p>
    <w:p>
      <w:pPr>
        <w:pStyle w:val="Heading2"/>
      </w:pPr>
      <w:r>
        <w:t xml:space="preserve">BFF catalogue</w:t>
      </w:r>
    </w:p>
    <w:p>
      <w:pPr/>
      <w:r>
        <w:t xml:space="preserve">Five BFFs, split by user population and trust level rather than by screen.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BFF</w:t>
            </w:r>
          </w:p>
        </w:tc>
        <w:tc>
          <w:tcPr>
            <w:tcW w:w="1872" w:type="dxa"/>
            <w:shd w:val="clear" w:color="auto" w:fill="F2F2F2"/>
          </w:tcPr>
          <w:p>
            <w:pPr/>
            <w:r>
              <w:t xml:space="preserve">Users / client</w:t>
            </w:r>
          </w:p>
        </w:tc>
        <w:tc>
          <w:tcPr>
            <w:tcW w:w="1872" w:type="dxa"/>
            <w:shd w:val="clear" w:color="auto" w:fill="F2F2F2"/>
          </w:tcPr>
          <w:p>
            <w:pPr/>
            <w:r>
              <w:t xml:space="preserve">Main capabilities</w:t>
            </w:r>
          </w:p>
        </w:tc>
        <w:tc>
          <w:tcPr>
            <w:tcW w:w="1872" w:type="dxa"/>
            <w:shd w:val="clear" w:color="auto" w:fill="F2F2F2"/>
          </w:tcPr>
          <w:p>
            <w:pPr/>
            <w:r>
              <w:t xml:space="preserve">Auth</w:t>
            </w:r>
          </w:p>
        </w:tc>
        <w:tc>
          <w:tcPr>
            <w:tcW w:w="1872" w:type="dxa"/>
            <w:shd w:val="clear" w:color="auto" w:fill="F2F2F2"/>
          </w:tcPr>
          <w:p>
            <w:pPr/>
            <w:r>
              <w:t xml:space="preserve">Special concerns</w:t>
            </w:r>
          </w:p>
        </w:tc>
      </w:tr>
      <w:tr>
        <w:tc>
          <w:tcPr>
            <w:tcW w:w="1872" w:type="dxa"/>
          </w:tcPr>
          <w:p>
            <w:pPr/>
            <w:r>
              <w:t xml:space="preserve">Ops Console BFF</w:t>
            </w:r>
          </w:p>
        </w:tc>
        <w:tc>
          <w:tcPr>
            <w:tcW w:w="1872" w:type="dxa"/>
          </w:tcPr>
          <w:p>
            <w:pPr/>
            <w:r>
              <w:t xml:space="preserve">DAP Ops, BU Ops; web</w:t>
            </w:r>
          </w:p>
        </w:tc>
        <w:tc>
          <w:tcPr>
            <w:tcW w:w="1872" w:type="dxa"/>
          </w:tcPr>
          <w:p>
            <w:pPr/>
            <w:r>
              <w:t xml:space="preserve">Tenant onboarding, shard health, policy authoring (PAP), registry views, incident and break-glass tools</w:t>
            </w:r>
          </w:p>
        </w:tc>
        <w:tc>
          <w:tcPr>
            <w:tcW w:w="1872" w:type="dxa"/>
          </w:tcPr>
          <w:p>
            <w:pPr/>
            <w:r>
              <w:t xml:space="preserve">Firm SSO (OIDC) + step-up MFA for admin intents</w:t>
            </w:r>
          </w:p>
        </w:tc>
        <w:tc>
          <w:tcPr>
            <w:tcW w:w="1872" w:type="dxa"/>
          </w:tcPr>
          <w:p>
            <w:pPr/>
            <w:r>
              <w:t xml:space="preserve">Admin actions as intents; 4-eyes on policy changes; break-glass fully audited</w:t>
            </w:r>
          </w:p>
        </w:tc>
      </w:tr>
      <w:tr>
        <w:tc>
          <w:tcPr>
            <w:tcW w:w="1872" w:type="dxa"/>
          </w:tcPr>
          <w:p>
            <w:pPr/>
            <w:r>
              <w:t xml:space="preserve">Approver BFF</w:t>
            </w:r>
          </w:p>
        </w:tc>
        <w:tc>
          <w:tcPr>
            <w:tcW w:w="1872" w:type="dxa"/>
          </w:tcPr>
          <w:p>
            <w:pPr/>
            <w:r>
              <w:t xml:space="preserve">Quorum approvers; mobile app</w:t>
            </w:r>
          </w:p>
        </w:tc>
        <w:tc>
          <w:tcPr>
            <w:tcW w:w="1872" w:type="dxa"/>
          </w:tcPr>
          <w:p>
            <w:pPr/>
            <w:r>
              <w:t xml:space="preserve">Pending approvals, decoded tx view, simulated balance deltas, approve / reject</w:t>
            </w:r>
          </w:p>
        </w:tc>
        <w:tc>
          <w:tcPr>
            <w:tcW w:w="1872" w:type="dxa"/>
          </w:tcPr>
          <w:p>
            <w:pPr/>
            <w:r>
              <w:t xml:space="preserve">SSO + device-bound key (Secure Enclave / StrongBox, WebAuthn)</w:t>
            </w:r>
          </w:p>
        </w:tc>
        <w:tc>
          <w:tcPr>
            <w:tcW w:w="1872" w:type="dxa"/>
          </w:tcPr>
          <w:p>
            <w:pPr/>
            <w:r>
              <w:t xml:space="preserve">Approval signs the hash of the decoded view (WYSIWYS to the human); push notifications carry no sensitive payload</w:t>
            </w:r>
          </w:p>
        </w:tc>
      </w:tr>
      <w:tr>
        <w:tc>
          <w:tcPr>
            <w:tcW w:w="1872" w:type="dxa"/>
          </w:tcPr>
          <w:p>
            <w:pPr/>
            <w:r>
              <w:t xml:space="preserve">BU Desk BFF</w:t>
            </w:r>
          </w:p>
        </w:tc>
        <w:tc>
          <w:tcPr>
            <w:tcW w:w="1872" w:type="dxa"/>
          </w:tcPr>
          <w:p>
            <w:pPr/>
            <w:r>
              <w:t xml:space="preserve">WM / ISG / IM middle-office apps</w:t>
            </w:r>
          </w:p>
        </w:tc>
        <w:tc>
          <w:tcPr>
            <w:tcW w:w="1872" w:type="dxa"/>
          </w:tcPr>
          <w:p>
            <w:pPr/>
            <w:r>
              <w:t xml:space="preserve">Positions, transfers, token actions, settlement status, statements</w:t>
            </w:r>
          </w:p>
        </w:tc>
        <w:tc>
          <w:tcPr>
            <w:tcW w:w="1872" w:type="dxa"/>
          </w:tcPr>
          <w:p>
            <w:pPr/>
            <w:r>
              <w:t xml:space="preserve">SSO, BU-scoped roles</w:t>
            </w:r>
          </w:p>
        </w:tc>
        <w:tc>
          <w:tcPr>
            <w:tcW w:w="1872" w:type="dxa"/>
          </w:tcPr>
          <w:p>
            <w:pPr/>
            <w:r>
              <w:t xml:space="preserve">Chinese-wall filtering; high read volume served from projections</w:t>
            </w:r>
          </w:p>
        </w:tc>
      </w:tr>
      <w:tr>
        <w:tc>
          <w:tcPr>
            <w:tcW w:w="1872" w:type="dxa"/>
          </w:tcPr>
          <w:p>
            <w:pPr/>
            <w:r>
              <w:t xml:space="preserve">Client Wallet BFF (future)</w:t>
            </w:r>
          </w:p>
        </w:tc>
        <w:tc>
          <w:tcPr>
            <w:tcW w:w="1872" w:type="dxa"/>
          </w:tcPr>
          <w:p>
            <w:pPr/>
            <w:r>
              <w:t xml:space="preserve">WM clients; web + mobile</w:t>
            </w:r>
          </w:p>
        </w:tc>
        <w:tc>
          <w:tcPr>
            <w:tcW w:w="1872" w:type="dxa"/>
          </w:tcPr>
          <w:p>
            <w:pPr/>
            <w:r>
              <w:t xml:space="preserve">Holdings, deposit addresses, transfer requests, statements</w:t>
            </w:r>
          </w:p>
        </w:tc>
        <w:tc>
          <w:tcPr>
            <w:tcW w:w="1872" w:type="dxa"/>
          </w:tcPr>
          <w:p>
            <w:pPr/>
            <w:r>
              <w:t xml:space="preserve">Client identity (CIAM) + step-up</w:t>
            </w:r>
          </w:p>
        </w:tc>
        <w:tc>
          <w:tcPr>
            <w:tcW w:w="1872" w:type="dxa"/>
          </w:tcPr>
          <w:p>
            <w:pPr/>
            <w:r>
              <w:t xml:space="preserve">Strict rate limits, PII minimisation, deposit address rotation</w:t>
            </w:r>
          </w:p>
        </w:tc>
      </w:tr>
      <w:tr>
        <w:tc>
          <w:tcPr>
            <w:tcW w:w="1872" w:type="dxa"/>
          </w:tcPr>
          <w:p>
            <w:pPr/>
            <w:r>
              <w:t xml:space="preserve">Back Office BFF</w:t>
            </w:r>
          </w:p>
        </w:tc>
        <w:tc>
          <w:tcPr>
            <w:tcW w:w="1872" w:type="dxa"/>
          </w:tcPr>
          <w:p>
            <w:pPr/>
            <w:r>
              <w:t xml:space="preserve">BO ops (Books &amp; Records, recon, corporate actions); web</w:t>
            </w:r>
          </w:p>
        </w:tc>
        <w:tc>
          <w:tcPr>
            <w:tcW w:w="1872" w:type="dxa"/>
          </w:tcPr>
          <w:p>
            <w:pPr/>
            <w:r>
              <w:t xml:space="preserve">Recon break queues, books &amp; records views, corporate-action and tax views, on-chain drill-down by ref_id</w:t>
            </w:r>
          </w:p>
        </w:tc>
        <w:tc>
          <w:tcPr>
            <w:tcW w:w="1872" w:type="dxa"/>
          </w:tcPr>
          <w:p>
            <w:pPr/>
            <w:r>
              <w:t xml:space="preserve">Firm SSO, BO roles</w:t>
            </w:r>
          </w:p>
        </w:tc>
        <w:tc>
          <w:tcPr>
            <w:tcW w:w="1872" w:type="dxa"/>
          </w:tcPr>
          <w:p>
            <w:pPr/>
            <w:r>
              <w:t xml:space="preserve">Read-heavy; any correcting entry is an intent with 4-eyes approval</w:t>
            </w:r>
          </w:p>
        </w:tc>
      </w:tr>
    </w:tbl>
    <w:p>
      <w:pPr/>
      <w:r>
        <w:t xml:space="preserve">System-to-system callers (BU DAMO batch jobs, Back Office recon jobs) call DAP APIs directly with service principals; BFFs are for interactive human channels only.</w:t>
      </w:r>
    </w:p>
    <w:p>
      <w:pPr>
        <w:pStyle w:val="Heading2"/>
      </w:pPr>
      <w:r>
        <w:t xml:space="preserve">Responsibilities</w:t>
      </w:r>
    </w:p>
    <w:p>
      <w:pPr/>
      <w:r>
        <w:t xml:space="preserve">A BFF is a translator and gatekeeper for its users, never a second home for business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BFF owns</w:t>
            </w:r>
          </w:p>
        </w:tc>
        <w:tc>
          <w:tcPr>
            <w:tcW w:w="4680" w:type="dxa"/>
            <w:shd w:val="clear" w:color="auto" w:fill="F2F2F2"/>
          </w:tcPr>
          <w:p>
            <w:pPr/>
            <w:r>
              <w:t xml:space="preserve">BFF must never own</w:t>
            </w:r>
          </w:p>
        </w:tc>
      </w:tr>
      <w:tr>
        <w:tc>
          <w:tcPr>
            <w:tcW w:w="4680" w:type="dxa"/>
          </w:tcPr>
          <w:p>
            <w:pPr/>
            <w:r>
              <w:t xml:space="preserve">Session via the token-handler pattern (HttpOnly, SameSite cookies; no tokens in JavaScript)</w:t>
            </w:r>
          </w:p>
        </w:tc>
        <w:tc>
          <w:tcPr>
            <w:tcW w:w="4680" w:type="dxa"/>
          </w:tcPr>
          <w:p>
            <w:pPr/>
            <w:r>
              <w:t xml:space="preserve">Policy decisions — the PDP only</w:t>
            </w:r>
          </w:p>
        </w:tc>
      </w:tr>
      <w:tr>
        <w:tc>
          <w:tcPr>
            <w:tcW w:w="4680" w:type="dxa"/>
          </w:tcPr>
          <w:p>
            <w:pPr/>
            <w:r>
              <w:t xml:space="preserve">Token exchange: user token → short-lived DAP credential (OAuth 2.0 Token Exchange, RFC 8693)</w:t>
            </w:r>
          </w:p>
        </w:tc>
        <w:tc>
          <w:tcPr>
            <w:tcW w:w="4680" w:type="dxa"/>
          </w:tcPr>
          <w:p>
            <w:pPr/>
            <w:r>
              <w:t xml:space="preserve">Balances or positions as a writer — the sub-ledger only</w:t>
            </w:r>
          </w:p>
        </w:tc>
      </w:tr>
      <w:tr>
        <w:tc>
          <w:tcPr>
            <w:tcW w:w="4680" w:type="dxa"/>
          </w:tcPr>
          <w:p>
            <w:pPr/>
            <w:r>
              <w:t xml:space="preserve">Intent assembly from UI input, </w:t>
            </w:r>
            <w:r>
              <w:rPr>
                <w:rStyle w:val="CodeChar"/>
              </w:rPr>
              <w:t xml:space="preserve">ref_id</w:t>
            </w:r>
            <w:r>
              <w:t xml:space="preserve"> / idempotency key, and signing with a per-BFF HSM key that binds the end-user identity</w:t>
            </w:r>
          </w:p>
        </w:tc>
        <w:tc>
          <w:tcPr>
            <w:tcW w:w="4680" w:type="dxa"/>
          </w:tcPr>
          <w:p>
            <w:pPr/>
            <w:r>
              <w:t xml:space="preserve">Calls to Fireblocks or any custody vendor</w:t>
            </w:r>
          </w:p>
        </w:tc>
      </w:tr>
      <w:tr>
        <w:tc>
          <w:tcPr>
            <w:tcW w:w="4680" w:type="dxa"/>
          </w:tcPr>
          <w:p>
            <w:pPr/>
            <w:r>
              <w:t xml:space="preserve">Aggregation across DAP read models, pagination, view-shaped DTOs</w:t>
            </w:r>
          </w:p>
        </w:tc>
        <w:tc>
          <w:tcPr>
            <w:tcW w:w="4680" w:type="dxa"/>
          </w:tcPr>
          <w:p>
            <w:pPr/>
            <w:r>
              <w:t xml:space="preserve">Chain-specific logic (fees, nonces, calldata decoding)</w:t>
            </w:r>
          </w:p>
        </w:tc>
      </w:tr>
      <w:tr>
        <w:tc>
          <w:tcPr>
            <w:tcW w:w="4680" w:type="dxa"/>
          </w:tcPr>
          <w:p>
            <w:pPr/>
            <w:r>
              <w:t xml:space="preserve">Field-level entitlements and masking for its audience</w:t>
            </w:r>
          </w:p>
        </w:tc>
        <w:tc>
          <w:tcPr>
            <w:tcW w:w="4680" w:type="dxa"/>
          </w:tcPr>
          <w:p>
            <w:pPr/>
            <w:r>
              <w:t xml:space="preserve">Long-running workflow state — the saga engine only</w:t>
            </w:r>
          </w:p>
        </w:tc>
      </w:tr>
      <w:tr>
        <w:tc>
          <w:tcPr>
            <w:tcW w:w="4680" w:type="dxa"/>
          </w:tcPr>
          <w:p>
            <w:pPr/>
            <w:r>
              <w:t xml:space="preserve">Event-to-push fan-out (SSE / WebSocket) and per-user subscriptions</w:t>
            </w:r>
          </w:p>
        </w:tc>
        <w:tc>
          <w:tcPr>
            <w:tcW w:w="4680" w:type="dxa"/>
          </w:tcPr>
          <w:p>
            <w:pPr/>
            <w:r>
              <w:t xml:space="preserve">Its own copy of reference data beyond a short-lived cache</w:t>
            </w:r>
          </w:p>
        </w:tc>
      </w:tr>
      <w:tr>
        <w:tc>
          <w:tcPr>
            <w:tcW w:w="4680" w:type="dxa"/>
          </w:tcPr>
          <w:p>
            <w:pPr/>
            <w:r>
              <w:t xml:space="preserve">Input validation and UX-friendly error mapping</w:t>
            </w:r>
          </w:p>
        </w:tc>
        <w:tc>
          <w:tcPr>
            <w:tcW w:w="4680" w:type="dxa"/>
          </w:tcPr>
          <w:p>
            <w:pPr/>
            <w:r>
              <w:t xml:space="preserve">Retry logic that could re-execute a financial action without </w:t>
            </w:r>
            <w:r>
              <w:rPr>
                <w:rStyle w:val="CodeChar"/>
              </w:rPr>
              <w:t xml:space="preserve">ref_id</w:t>
            </w:r>
          </w:p>
        </w:tc>
      </w:tr>
    </w:tbl>
    <w:p>
      <w:pPr>
        <w:pStyle w:val="Heading2"/>
      </w:pPr>
      <w:r>
        <w:t xml:space="preserve">Security model</w:t>
      </w:r>
    </w:p>
    <w:p>
      <w:pPr/>
      <w:r>
        <w:t xml:space="preserve">The BFF is a trust boundary: everything a client sends is untrusted, and everything the BFF sends DAP is signed, scoped and attributable to a named human.</w:t>
      </w:r>
    </w:p>
    <w:p>
      <w:pPr>
        <w:pStyle w:val="Heading3"/>
      </w:pPr>
      <w:r>
        <w:t xml:space="preserve">Identity and sessions</w:t>
      </w:r>
    </w:p>
    <w:p>
      <w:pPr>
        <w:pStyle w:val="ListParagraph"/>
        <w:numPr>
          <w:ilvl w:val="0"/>
          <w:numId w:val="3"/>
        </w:numPr>
      </w:pPr>
      <w:r>
        <w:rPr>
          <w:b/>
        </w:rPr>
        <w:t xml:space="preserve">Token-handler pattern.</w:t>
      </w:r>
      <w:r>
        <w:t xml:space="preserve"> The browser holds only an encrypted HttpOnly, </w:t>
      </w:r>
      <w:r>
        <w:rPr>
          <w:rStyle w:val="CodeChar"/>
        </w:rPr>
        <w:t xml:space="preserve">Secure</w:t>
      </w:r>
      <w:r>
        <w:t xml:space="preserve">, </w:t>
      </w:r>
      <w:r>
        <w:rPr>
          <w:rStyle w:val="CodeChar"/>
        </w:rPr>
        <w:t xml:space="preserve">SameSite=Strict</w:t>
      </w:r>
      <w:r>
        <w:t xml:space="preserve"> session cookie. OIDC tokens stay server-side in the BFF. This removes token theft via XSS.</w:t>
      </w:r>
    </w:p>
    <w:p>
      <w:pPr>
        <w:pStyle w:val="ListParagraph"/>
        <w:numPr>
          <w:ilvl w:val="0"/>
          <w:numId w:val="3"/>
        </w:numPr>
      </w:pPr>
      <w:r>
        <w:rPr>
          <w:b/>
        </w:rPr>
        <w:t xml:space="preserve">CSRF and content security.</w:t>
      </w:r>
      <w:r>
        <w:t xml:space="preserve"> Double-submit or origin checks on state-changing calls; strict CSP, no inline scripts; Subresource Integrity on CDN assets.</w:t>
      </w:r>
    </w:p>
    <w:p>
      <w:pPr>
        <w:pStyle w:val="ListParagraph"/>
        <w:numPr>
          <w:ilvl w:val="0"/>
          <w:numId w:val="3"/>
        </w:numPr>
      </w:pPr>
      <w:r>
        <w:rPr>
          <w:b/>
        </w:rPr>
        <w:t xml:space="preserve">Step-up.</w:t>
      </w:r>
      <w:r>
        <w:t xml:space="preserve"> Admin intents, policy edits and transfers above a threshold require fresh MFA (</w:t>
      </w:r>
      <w:r>
        <w:rPr>
          <w:rStyle w:val="CodeChar"/>
        </w:rPr>
        <w:t xml:space="preserve">acr</w:t>
      </w:r>
      <w:r>
        <w:t xml:space="preserve"> / </w:t>
      </w:r>
      <w:r>
        <w:rPr>
          <w:rStyle w:val="CodeChar"/>
        </w:rPr>
        <w:t xml:space="preserve">auth_time</w:t>
      </w:r>
      <w:r>
        <w:t xml:space="preserve"> claims checked by the BFF and re-checked by the PDP).</w:t>
      </w:r>
    </w:p>
    <w:p>
      <w:pPr>
        <w:pStyle w:val="Heading3"/>
      </w:pPr>
      <w:r>
        <w:t xml:space="preserve">From user to DAP credential</w:t>
      </w:r>
    </w:p>
    <w:p>
      <w:pPr>
        <w:pStyle w:val="ListParagraph"/>
        <w:numPr>
          <w:ilvl w:val="0"/>
          <w:numId w:val="4"/>
        </w:numPr>
      </w:pPr>
      <w:r>
        <w:t xml:space="preserve">User authenticates to firm SSO; BFF receives an ID and access token.</w:t>
      </w:r>
    </w:p>
    <w:p>
      <w:pPr>
        <w:pStyle w:val="ListParagraph"/>
        <w:numPr>
          <w:ilvl w:val="0"/>
          <w:numId w:val="4"/>
        </w:numPr>
      </w:pPr>
      <w:r>
        <w:t xml:space="preserve">BFF performs token exchange for a short-lived (minutes), audience-bound DAP token carrying </w:t>
      </w:r>
      <w:r>
        <w:rPr>
          <w:rStyle w:val="CodeChar"/>
        </w:rPr>
        <w:t xml:space="preserve">sub</w:t>
      </w:r>
      <w:r>
        <w:t xml:space="preserve"> (user), </w:t>
      </w:r>
      <w:r>
        <w:rPr>
          <w:rStyle w:val="CodeChar"/>
        </w:rPr>
        <w:t xml:space="preserve">act</w:t>
      </w:r>
      <w:r>
        <w:t xml:space="preserve"> (BFF), BU and roles.</w:t>
      </w:r>
    </w:p>
    <w:p>
      <w:pPr>
        <w:pStyle w:val="ListParagraph"/>
        <w:numPr>
          <w:ilvl w:val="0"/>
          <w:numId w:val="4"/>
        </w:numPr>
      </w:pPr>
      <w:r>
        <w:t xml:space="preserve">BFF calls DAP over mTLS with its workload identity; DAP authorises on both the BFF identity and the delegated user claims.</w:t>
      </w:r>
    </w:p>
    <w:p>
      <w:pPr>
        <w:pStyle w:val="Heading3"/>
      </w:pPr>
      <w:r>
        <w:t xml:space="preserve">Intent signing and non-repudiation</w:t>
      </w:r>
    </w:p>
    <w:p>
      <w:pPr>
        <w:pStyle w:val="ListParagraph"/>
        <w:numPr>
          <w:ilvl w:val="0"/>
          <w:numId w:val="5"/>
        </w:numPr>
      </w:pPr>
      <w:r>
        <w:t xml:space="preserve">Each BFF has its own signing key in an HSM / KMS. It signs the wiring-protocol signature base (service, msgtype, created, nonce, audience, payload hash) with the end-user identity inside the payload.</w:t>
      </w:r>
    </w:p>
    <w:p>
      <w:pPr>
        <w:pStyle w:val="ListParagraph"/>
        <w:numPr>
          <w:ilvl w:val="0"/>
          <w:numId w:val="5"/>
        </w:numPr>
      </w:pPr>
      <w:r>
        <w:t xml:space="preserve">For high-value or approval actions, the human signs too: the Approver app signs </w:t>
      </w:r>
      <w:r>
        <w:rPr>
          <w:rStyle w:val="CodeChar"/>
        </w:rPr>
        <w:t xml:space="preserve">H(decoded_view ‖ ref_id ‖ decision)</w:t>
      </w:r>
      <w:r>
        <w:t xml:space="preserve"> with a device-bound key registered in IAA. DAP then holds evidence of </w:t>
      </w:r>
      <w:r>
        <w:rPr>
          <w:i/>
        </w:rPr>
        <w:t xml:space="preserve">who saw what</w:t>
      </w:r>
      <w:r>
        <w:t xml:space="preserve"> and </w:t>
      </w:r>
      <w:r>
        <w:rPr>
          <w:i/>
        </w:rPr>
        <w:t xml:space="preserve">who approved what</w:t>
      </w:r>
      <w:r>
        <w:t xml:space="preserve">.</w:t>
      </w:r>
    </w:p>
    <w:p>
      <w:pPr>
        <w:pStyle w:val="ListParagraph"/>
        <w:numPr>
          <w:ilvl w:val="0"/>
          <w:numId w:val="5"/>
        </w:numPr>
      </w:pPr>
      <w:r>
        <w:t xml:space="preserve">BFF keys are scoped: Ops Console BFF can submit admin intents, BU Desk BFF cannot; Back Office BFF can submit only correcting-entry intents, never transfers.</w:t>
      </w:r>
    </w:p>
    <w:p>
      <w:pPr>
        <w:pStyle w:val="Heading3"/>
      </w:pPr>
      <w:r>
        <w:t xml:space="preserve">Entitlements and data protection</w:t>
      </w:r>
    </w:p>
    <w:p>
      <w:pPr>
        <w:pStyle w:val="ListParagraph"/>
        <w:numPr>
          <w:ilvl w:val="0"/>
          <w:numId w:val="6"/>
        </w:numPr>
      </w:pPr>
      <w:r>
        <w:t xml:space="preserve">Coarse authorisation (which BU, which actions) enforced by DAP; fine-grained view filtering (which fields, which accounts) in the BFF, driven by the same entitlement source.</w:t>
      </w:r>
    </w:p>
    <w:p>
      <w:pPr>
        <w:pStyle w:val="ListParagraph"/>
        <w:numPr>
          <w:ilvl w:val="0"/>
          <w:numId w:val="6"/>
        </w:numPr>
      </w:pPr>
      <w:r>
        <w:t xml:space="preserve">Masking of client PII and full addresses by role; no sensitive data in push notifications or logs.</w:t>
      </w:r>
    </w:p>
    <w:p>
      <w:pPr>
        <w:pStyle w:val="ListParagraph"/>
        <w:numPr>
          <w:ilvl w:val="0"/>
          <w:numId w:val="6"/>
        </w:numPr>
      </w:pPr>
      <w:r>
        <w:t xml:space="preserve">Per-BFF and per-user rate limits; anomaly alerts on unusual read volume (data-exfiltration signal).</w:t>
      </w:r>
    </w:p>
    <w:p>
      <w:pPr>
        <w:pStyle w:val="Heading2"/>
      </w:pPr>
      <w:r>
        <w:t xml:space="preserve">Key flows</w:t>
      </w:r>
    </w:p>
    <w:p>
      <w:pPr/>
      <w:r>
        <w:t xml:space="preserve">Writes are asynchronous and always carry a </w:t>
      </w:r>
      <w:r>
        <w:rPr>
          <w:rStyle w:val="CodeChar"/>
        </w:rPr>
        <w:t xml:space="preserve">ref_id</w:t>
      </w:r>
      <w:r>
        <w:t xml:space="preserve">; reads come from projections with an </w:t>
      </w:r>
      <w:r>
        <w:rPr>
          <w:rStyle w:val="CodeChar"/>
        </w:rPr>
        <w:t xml:space="preserve">as_of</w:t>
      </w:r>
      <w:r>
        <w:t xml:space="preserve">; status reaches the user by push, not polling.</w:t>
      </w:r>
    </w:p>
    <w:p>
      <w:pPr>
        <w:pStyle w:val="Heading3"/>
      </w:pPr>
      <w:r>
        <w:t xml:space="preserve">Transfer with approval</w:t>
      </w:r>
    </w:p>
    <w:p>
      <w:pPr>
        <w:pStyle w:val="ListParagraph"/>
        <w:numPr>
          <w:ilvl w:val="0"/>
          <w:numId w:val="7"/>
        </w:numPr>
      </w:pPr>
      <w:r>
        <w:rPr>
          <w:b/>
        </w:rPr>
        <w:t xml:space="preserve">Submit.</w:t>
      </w:r>
      <w:r>
        <w:t xml:space="preserve"> BU Desk BFF validates the form, generates </w:t>
      </w:r>
      <w:r>
        <w:rPr>
          <w:rStyle w:val="CodeChar"/>
        </w:rPr>
        <w:t xml:space="preserve">ref_id</w:t>
      </w:r>
      <w:r>
        <w:t xml:space="preserve">, builds the platform intent, signs it and calls </w:t>
      </w:r>
      <w:r>
        <w:rPr>
          <w:rStyle w:val="CodeChar"/>
        </w:rPr>
        <w:t xml:space="preserve">POST /intents</w:t>
      </w:r>
      <w:r>
        <w:t xml:space="preserve">. DAP returns </w:t>
      </w:r>
      <w:r>
        <w:rPr>
          <w:rStyle w:val="CodeChar"/>
        </w:rPr>
        <w:t xml:space="preserve">202 Accepted</w:t>
      </w:r>
      <w:r>
        <w:t xml:space="preserve"> with </w:t>
      </w:r>
      <w:r>
        <w:rPr>
          <w:rStyle w:val="CodeChar"/>
        </w:rPr>
        <w:t xml:space="preserve">ref_id</w:t>
      </w:r>
      <w:r>
        <w:t xml:space="preserve"> in under 300 ms.</w:t>
      </w:r>
    </w:p>
    <w:p>
      <w:pPr>
        <w:pStyle w:val="ListParagraph"/>
        <w:numPr>
          <w:ilvl w:val="0"/>
          <w:numId w:val="7"/>
        </w:numPr>
      </w:pPr>
      <w:r>
        <w:rPr>
          <w:b/>
        </w:rPr>
        <w:t xml:space="preserve">Policy.</w:t>
      </w:r>
      <w:r>
        <w:t xml:space="preserve"> PDP returns </w:t>
      </w:r>
      <w:r>
        <w:rPr>
          <w:rStyle w:val="CodeChar"/>
        </w:rPr>
        <w:t xml:space="preserve">PENDING_APPROVAL</w:t>
      </w:r>
      <w:r>
        <w:t xml:space="preserve"> with obligations (for example a 2-of-3 quorum). The event backbone emits </w:t>
      </w:r>
      <w:r>
        <w:rPr>
          <w:rStyle w:val="CodeChar"/>
        </w:rPr>
        <w:t xml:space="preserve">approval.requested</w:t>
      </w:r>
      <w:r>
        <w:t xml:space="preserve">.</w:t>
      </w:r>
    </w:p>
    <w:p>
      <w:pPr>
        <w:pStyle w:val="ListParagraph"/>
        <w:numPr>
          <w:ilvl w:val="0"/>
          <w:numId w:val="7"/>
        </w:numPr>
      </w:pPr>
      <w:r>
        <w:rPr>
          <w:b/>
        </w:rPr>
        <w:t xml:space="preserve">Notify.</w:t>
      </w:r>
      <w:r>
        <w:t xml:space="preserve"> Approver BFF consumes the event and sends a content-free push ("1 approval waiting").</w:t>
      </w:r>
    </w:p>
    <w:p>
      <w:pPr>
        <w:pStyle w:val="ListParagraph"/>
        <w:numPr>
          <w:ilvl w:val="0"/>
          <w:numId w:val="7"/>
        </w:numPr>
      </w:pPr>
      <w:r>
        <w:rPr>
          <w:b/>
        </w:rPr>
        <w:t xml:space="preserve">Review.</w:t>
      </w:r>
      <w:r>
        <w:t xml:space="preserve"> The app fetches the decoded tx view and simulated balance deltas produced by the co-signer decoder — the same view the co-signer will enforce.</w:t>
      </w:r>
    </w:p>
    <w:p>
      <w:pPr>
        <w:pStyle w:val="ListParagraph"/>
        <w:numPr>
          <w:ilvl w:val="0"/>
          <w:numId w:val="7"/>
        </w:numPr>
      </w:pPr>
      <w:r>
        <w:rPr>
          <w:b/>
        </w:rPr>
        <w:t xml:space="preserve">Approve.</w:t>
      </w:r>
      <w:r>
        <w:t xml:space="preserve"> The approver signs </w:t>
      </w:r>
      <w:r>
        <w:rPr>
          <w:rStyle w:val="CodeChar"/>
        </w:rPr>
        <w:t xml:space="preserve">H(decoded_view ‖ ref_id ‖ decision)</w:t>
      </w:r>
      <w:r>
        <w:t xml:space="preserve"> on device; Approver BFF forwards the signed approval; PDP verifies the device key and records the vote.</w:t>
      </w:r>
    </w:p>
    <w:p>
      <w:pPr>
        <w:pStyle w:val="ListParagraph"/>
        <w:numPr>
          <w:ilvl w:val="0"/>
          <w:numId w:val="7"/>
        </w:numPr>
      </w:pPr>
      <w:r>
        <w:rPr>
          <w:b/>
        </w:rPr>
        <w:t xml:space="preserve">Execute.</w:t>
      </w:r>
      <w:r>
        <w:t xml:space="preserve"> On quorum the intent proceeds to signing and broadcast; no BFF is involved.</w:t>
      </w:r>
    </w:p>
    <w:p>
      <w:pPr>
        <w:pStyle w:val="ListParagraph"/>
        <w:numPr>
          <w:ilvl w:val="0"/>
          <w:numId w:val="7"/>
        </w:numPr>
      </w:pPr>
      <w:r>
        <w:rPr>
          <w:b/>
        </w:rPr>
        <w:t xml:space="preserve">Status.</w:t>
      </w:r>
      <w:r>
        <w:t xml:space="preserve"> </w:t>
      </w:r>
      <w:r>
        <w:rPr>
          <w:rStyle w:val="CodeChar"/>
        </w:rPr>
        <w:t xml:space="preserve">tx.status</w:t>
      </w:r>
      <w:r>
        <w:t xml:space="preserve"> events (</w:t>
      </w:r>
      <w:r>
        <w:rPr>
          <w:rStyle w:val="CodeChar"/>
        </w:rPr>
        <w:t xml:space="preserve">SIGNED</w:t>
      </w:r>
      <w:r>
        <w:t xml:space="preserve">, </w:t>
      </w:r>
      <w:r>
        <w:rPr>
          <w:rStyle w:val="CodeChar"/>
        </w:rPr>
        <w:t xml:space="preserve">BROADCAST</w:t>
      </w:r>
      <w:r>
        <w:t xml:space="preserve">, </w:t>
      </w:r>
      <w:r>
        <w:rPr>
          <w:rStyle w:val="CodeChar"/>
        </w:rPr>
        <w:t xml:space="preserve">FINALIZED</w:t>
      </w:r>
      <w:r>
        <w:t xml:space="preserve"> or </w:t>
      </w:r>
      <w:r>
        <w:rPr>
          <w:rStyle w:val="CodeChar"/>
        </w:rPr>
        <w:t xml:space="preserve">FAILED</w:t>
      </w:r>
      <w:r>
        <w:t xml:space="preserve">) flow to BU Desk BFF, which pushes them to the user's open session via SSE.</w:t>
      </w:r>
    </w:p>
    <w:p>
      <w:pPr>
        <w:pStyle w:val="Heading3"/>
      </w:pPr>
      <w:r>
        <w:t xml:space="preserve">Read path (CQRS)</w:t>
      </w:r>
    </w:p>
    <w:p>
      <w:pPr>
        <w:pStyle w:val="ListParagraph"/>
        <w:numPr>
          <w:ilvl w:val="0"/>
          <w:numId w:val="8"/>
        </w:numPr>
      </w:pPr>
      <w:r>
        <w:t xml:space="preserve">BFFs read projections built from the event backbone: positions by account, tx timeline by </w:t>
      </w:r>
      <w:r>
        <w:rPr>
          <w:rStyle w:val="CodeChar"/>
        </w:rPr>
        <w:t xml:space="preserve">ref_id</w:t>
      </w:r>
      <w:r>
        <w:t xml:space="preserve">, approvals queue, token registry.</w:t>
      </w:r>
    </w:p>
    <w:p>
      <w:pPr>
        <w:pStyle w:val="ListParagraph"/>
        <w:numPr>
          <w:ilvl w:val="0"/>
          <w:numId w:val="8"/>
        </w:numPr>
      </w:pPr>
      <w:r>
        <w:t xml:space="preserve">Projections live per cell and are eventually consistent within seconds; each response carries </w:t>
      </w:r>
      <w:r>
        <w:rPr>
          <w:rStyle w:val="CodeChar"/>
        </w:rPr>
        <w:t xml:space="preserve">as_of</w:t>
      </w:r>
      <w:r>
        <w:t xml:space="preserve"> (ledger sequence) so the UI shows freshness.</w:t>
      </w:r>
    </w:p>
    <w:p>
      <w:pPr>
        <w:pStyle w:val="ListParagraph"/>
        <w:numPr>
          <w:ilvl w:val="0"/>
          <w:numId w:val="8"/>
        </w:numPr>
      </w:pPr>
      <w:r>
        <w:t xml:space="preserve">Before a user acts on a balance, the BFF passes the </w:t>
      </w:r>
      <w:r>
        <w:rPr>
          <w:rStyle w:val="CodeChar"/>
        </w:rPr>
        <w:t xml:space="preserve">as_of</w:t>
      </w:r>
      <w:r>
        <w:t xml:space="preserve"> it showed in the intent; the PDP rejects if the reservation fails, so stale reads never cause overdraws.</w:t>
      </w:r>
    </w:p>
    <w:p>
      <w:pPr>
        <w:pStyle w:val="Heading3"/>
      </w:pPr>
      <w:r>
        <w:t xml:space="preserve">Real-time push</w:t>
      </w:r>
    </w:p>
    <w:p>
      <w:pPr>
        <w:pStyle w:val="ListParagraph"/>
        <w:numPr>
          <w:ilvl w:val="0"/>
          <w:numId w:val="9"/>
        </w:numPr>
      </w:pPr>
      <w:r>
        <w:t xml:space="preserve">One subscription per session, filtered by the user's entitlements; topics are </w:t>
      </w:r>
      <w:r>
        <w:rPr>
          <w:rStyle w:val="CodeChar"/>
        </w:rPr>
        <w:t xml:space="preserve">ref_id</w:t>
      </w:r>
      <w:r>
        <w:t xml:space="preserve">s and account ids the user may see.</w:t>
      </w:r>
    </w:p>
    <w:p>
      <w:pPr>
        <w:pStyle w:val="ListParagraph"/>
        <w:numPr>
          <w:ilvl w:val="0"/>
          <w:numId w:val="9"/>
        </w:numPr>
      </w:pPr>
      <w:r>
        <w:t xml:space="preserve">SSE for web (simple, proxy-friendly), WebSocket only where bidirectional is needed; mobile uses APNs / FCM with content-free payloads.</w:t>
      </w:r>
    </w:p>
    <w:p>
      <w:pPr>
        <w:pStyle w:val="ListParagraph"/>
        <w:numPr>
          <w:ilvl w:val="0"/>
          <w:numId w:val="9"/>
        </w:numPr>
      </w:pPr>
      <w:r>
        <w:t xml:space="preserve">On reconnect the client sends its last event id; the BFF replays from the projection, so missed events are never lost.</w:t>
      </w:r>
    </w:p>
    <w:p>
      <w:pPr>
        <w:pStyle w:val="Heading2"/>
      </w:pPr>
      <w:r>
        <w:t xml:space="preserve">API surface per BFF</w:t>
      </w:r>
    </w:p>
    <w:p>
      <w:pPr/>
      <w:r>
        <w:t xml:space="preserve">Illustrative endpoints to anchor discussion; every write maps to one DAP platform intent and returns </w:t>
      </w:r>
      <w:r>
        <w:rPr>
          <w:rStyle w:val="CodeChar"/>
        </w:rPr>
        <w:t xml:space="preserve">202</w:t>
      </w:r>
      <w:r>
        <w:t xml:space="preserve"> with a </w:t>
      </w:r>
      <w:r>
        <w:rPr>
          <w:rStyle w:val="CodeChar"/>
        </w:rPr>
        <w:t xml:space="preserve">ref_id</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BFF</w:t>
            </w:r>
          </w:p>
        </w:tc>
        <w:tc>
          <w:tcPr>
            <w:tcW w:w="2340" w:type="dxa"/>
            <w:shd w:val="clear" w:color="auto" w:fill="F2F2F2"/>
          </w:tcPr>
          <w:p>
            <w:pPr/>
            <w:r>
              <w:t xml:space="preserve">Endpoint</w:t>
            </w:r>
          </w:p>
        </w:tc>
        <w:tc>
          <w:tcPr>
            <w:tcW w:w="2340" w:type="dxa"/>
            <w:shd w:val="clear" w:color="auto" w:fill="F2F2F2"/>
          </w:tcPr>
          <w:p>
            <w:pPr/>
            <w:r>
              <w:t xml:space="preserve">Maps to DAP</w:t>
            </w:r>
          </w:p>
        </w:tc>
        <w:tc>
          <w:tcPr>
            <w:tcW w:w="2340" w:type="dxa"/>
            <w:shd w:val="clear" w:color="auto" w:fill="F2F2F2"/>
          </w:tcPr>
          <w:p>
            <w:pPr/>
            <w:r>
              <w:t xml:space="preserve">Notes</w:t>
            </w:r>
          </w:p>
        </w:tc>
      </w:tr>
      <w:tr>
        <w:tc>
          <w:tcPr>
            <w:tcW w:w="2340" w:type="dxa"/>
          </w:tcPr>
          <w:p>
            <w:pPr/>
            <w:r>
              <w:t xml:space="preserve">BU Desk</w:t>
            </w:r>
          </w:p>
        </w:tc>
        <w:tc>
          <w:tcPr>
            <w:tcW w:w="2340" w:type="dxa"/>
          </w:tcPr>
          <w:p>
            <w:pPr/>
            <w:r>
              <w:rPr>
                <w:rStyle w:val="CodeChar"/>
              </w:rPr>
              <w:t xml:space="preserve">GET /accounts/{id}/positions</w:t>
            </w:r>
          </w:p>
        </w:tc>
        <w:tc>
          <w:tcPr>
            <w:tcW w:w="2340" w:type="dxa"/>
          </w:tcPr>
          <w:p>
            <w:pPr/>
            <w:r>
              <w:t xml:space="preserve">Positions projection</w:t>
            </w:r>
          </w:p>
        </w:tc>
        <w:tc>
          <w:tcPr>
            <w:tcW w:w="2340" w:type="dxa"/>
          </w:tcPr>
          <w:p>
            <w:pPr/>
            <w:r>
              <w:t xml:space="preserve">Returns </w:t>
            </w:r>
            <w:r>
              <w:rPr>
                <w:rStyle w:val="CodeChar"/>
              </w:rPr>
              <w:t xml:space="preserve">as_of</w:t>
            </w:r>
            <w:r>
              <w:t xml:space="preserve">; masked per role</w:t>
            </w:r>
          </w:p>
        </w:tc>
      </w:tr>
      <w:tr>
        <w:tc>
          <w:tcPr>
            <w:tcW w:w="2340" w:type="dxa"/>
          </w:tcPr>
          <w:p>
            <w:pPr/>
            <w:r>
              <w:t xml:space="preserve">BU Desk</w:t>
            </w:r>
          </w:p>
        </w:tc>
        <w:tc>
          <w:tcPr>
            <w:tcW w:w="2340" w:type="dxa"/>
          </w:tcPr>
          <w:p>
            <w:pPr/>
            <w:r>
              <w:rPr>
                <w:rStyle w:val="CodeChar"/>
              </w:rPr>
              <w:t xml:space="preserve">POST /transfers</w:t>
            </w:r>
          </w:p>
        </w:tc>
        <w:tc>
          <w:tcPr>
            <w:tcW w:w="2340" w:type="dxa"/>
          </w:tcPr>
          <w:p>
            <w:pPr/>
            <w:r>
              <w:rPr>
                <w:rStyle w:val="CodeChar"/>
              </w:rPr>
              <w:t xml:space="preserve">intent: wallet.transfer</w:t>
            </w:r>
          </w:p>
        </w:tc>
        <w:tc>
          <w:tcPr>
            <w:tcW w:w="2340" w:type="dxa"/>
          </w:tcPr>
          <w:p>
            <w:pPr/>
            <w:r>
              <w:rPr>
                <w:rStyle w:val="CodeChar"/>
              </w:rPr>
              <w:t xml:space="preserve">Idempotency-Key</w:t>
            </w:r>
            <w:r>
              <w:t xml:space="preserve"> header = </w:t>
            </w:r>
            <w:r>
              <w:rPr>
                <w:rStyle w:val="CodeChar"/>
              </w:rPr>
              <w:t xml:space="preserve">ref_id</w:t>
            </w:r>
          </w:p>
        </w:tc>
      </w:tr>
      <w:tr>
        <w:tc>
          <w:tcPr>
            <w:tcW w:w="2340" w:type="dxa"/>
          </w:tcPr>
          <w:p>
            <w:pPr/>
            <w:r>
              <w:t xml:space="preserve">BU Desk</w:t>
            </w:r>
          </w:p>
        </w:tc>
        <w:tc>
          <w:tcPr>
            <w:tcW w:w="2340" w:type="dxa"/>
          </w:tcPr>
          <w:p>
            <w:pPr/>
            <w:r>
              <w:rPr>
                <w:rStyle w:val="CodeChar"/>
              </w:rPr>
              <w:t xml:space="preserve">GET /transfers/{ref_id}</w:t>
            </w:r>
          </w:p>
        </w:tc>
        <w:tc>
          <w:tcPr>
            <w:tcW w:w="2340" w:type="dxa"/>
          </w:tcPr>
          <w:p>
            <w:pPr/>
            <w:r>
              <w:t xml:space="preserve">Tx timeline projection</w:t>
            </w:r>
          </w:p>
        </w:tc>
        <w:tc>
          <w:tcPr>
            <w:tcW w:w="2340" w:type="dxa"/>
          </w:tcPr>
          <w:p>
            <w:pPr/>
            <w:r>
              <w:t xml:space="preserve">Includes decoded view and current state</w:t>
            </w:r>
          </w:p>
        </w:tc>
      </w:tr>
      <w:tr>
        <w:tc>
          <w:tcPr>
            <w:tcW w:w="2340" w:type="dxa"/>
          </w:tcPr>
          <w:p>
            <w:pPr/>
            <w:r>
              <w:t xml:space="preserve">BU Desk</w:t>
            </w:r>
          </w:p>
        </w:tc>
        <w:tc>
          <w:tcPr>
            <w:tcW w:w="2340" w:type="dxa"/>
          </w:tcPr>
          <w:p>
            <w:pPr/>
            <w:r>
              <w:rPr>
                <w:rStyle w:val="CodeChar"/>
              </w:rPr>
              <w:t xml:space="preserve">GET /events</w:t>
            </w:r>
            <w:r>
              <w:t xml:space="preserve"> (SSE)</w:t>
            </w:r>
          </w:p>
        </w:tc>
        <w:tc>
          <w:tcPr>
            <w:tcW w:w="2340" w:type="dxa"/>
          </w:tcPr>
          <w:p>
            <w:pPr/>
            <w:r>
              <w:t xml:space="preserve">Event backbone</w:t>
            </w:r>
          </w:p>
        </w:tc>
        <w:tc>
          <w:tcPr>
            <w:tcW w:w="2340" w:type="dxa"/>
          </w:tcPr>
          <w:p>
            <w:pPr/>
            <w:r>
              <w:t xml:space="preserve">Resumes from </w:t>
            </w:r>
            <w:r>
              <w:rPr>
                <w:rStyle w:val="CodeChar"/>
              </w:rPr>
              <w:t xml:space="preserve">Last-Event-ID</w:t>
            </w:r>
          </w:p>
        </w:tc>
      </w:tr>
      <w:tr>
        <w:tc>
          <w:tcPr>
            <w:tcW w:w="2340" w:type="dxa"/>
          </w:tcPr>
          <w:p>
            <w:pPr/>
            <w:r>
              <w:t xml:space="preserve">Approver</w:t>
            </w:r>
          </w:p>
        </w:tc>
        <w:tc>
          <w:tcPr>
            <w:tcW w:w="2340" w:type="dxa"/>
          </w:tcPr>
          <w:p>
            <w:pPr/>
            <w:r>
              <w:rPr>
                <w:rStyle w:val="CodeChar"/>
              </w:rPr>
              <w:t xml:space="preserve">GET /approvals?state=pending</w:t>
            </w:r>
          </w:p>
        </w:tc>
        <w:tc>
          <w:tcPr>
            <w:tcW w:w="2340" w:type="dxa"/>
          </w:tcPr>
          <w:p>
            <w:pPr/>
            <w:r>
              <w:t xml:space="preserve">Approvals queue projection</w:t>
            </w:r>
          </w:p>
        </w:tc>
        <w:tc>
          <w:tcPr>
            <w:tcW w:w="2340" w:type="dxa"/>
          </w:tcPr>
          <w:p>
            <w:pPr/>
            <w:r>
              <w:t xml:space="preserve">Only items in approver's quorums</w:t>
            </w:r>
          </w:p>
        </w:tc>
      </w:tr>
      <w:tr>
        <w:tc>
          <w:tcPr>
            <w:tcW w:w="2340" w:type="dxa"/>
          </w:tcPr>
          <w:p>
            <w:pPr/>
            <w:r>
              <w:t xml:space="preserve">Approver</w:t>
            </w:r>
          </w:p>
        </w:tc>
        <w:tc>
          <w:tcPr>
            <w:tcW w:w="2340" w:type="dxa"/>
          </w:tcPr>
          <w:p>
            <w:pPr/>
            <w:r>
              <w:rPr>
                <w:rStyle w:val="CodeChar"/>
              </w:rPr>
              <w:t xml:space="preserve">GET /approvals/{ref_id}</w:t>
            </w:r>
          </w:p>
        </w:tc>
        <w:tc>
          <w:tcPr>
            <w:tcW w:w="2340" w:type="dxa"/>
          </w:tcPr>
          <w:p>
            <w:pPr/>
            <w:r>
              <w:t xml:space="preserve">Decoded view + simulation</w:t>
            </w:r>
          </w:p>
        </w:tc>
        <w:tc>
          <w:tcPr>
            <w:tcW w:w="2340" w:type="dxa"/>
          </w:tcPr>
          <w:p>
            <w:pPr/>
            <w:r>
              <w:t xml:space="preserve">Same bytes the co-signer checks</w:t>
            </w:r>
          </w:p>
        </w:tc>
      </w:tr>
      <w:tr>
        <w:tc>
          <w:tcPr>
            <w:tcW w:w="2340" w:type="dxa"/>
          </w:tcPr>
          <w:p>
            <w:pPr/>
            <w:r>
              <w:t xml:space="preserve">Approver</w:t>
            </w:r>
          </w:p>
        </w:tc>
        <w:tc>
          <w:tcPr>
            <w:tcW w:w="2340" w:type="dxa"/>
          </w:tcPr>
          <w:p>
            <w:pPr/>
            <w:r>
              <w:rPr>
                <w:rStyle w:val="CodeChar"/>
              </w:rPr>
              <w:t xml:space="preserve">POST /approvals/{ref_id}/decision</w:t>
            </w:r>
          </w:p>
        </w:tc>
        <w:tc>
          <w:tcPr>
            <w:tcW w:w="2340" w:type="dxa"/>
          </w:tcPr>
          <w:p>
            <w:pPr/>
            <w:r>
              <w:t xml:space="preserve">PDP vote</w:t>
            </w:r>
          </w:p>
        </w:tc>
        <w:tc>
          <w:tcPr>
            <w:tcW w:w="2340" w:type="dxa"/>
          </w:tcPr>
          <w:p>
            <w:pPr/>
            <w:r>
              <w:t xml:space="preserve">Body carries device signature</w:t>
            </w:r>
          </w:p>
        </w:tc>
      </w:tr>
      <w:tr>
        <w:tc>
          <w:tcPr>
            <w:tcW w:w="2340" w:type="dxa"/>
          </w:tcPr>
          <w:p>
            <w:pPr/>
            <w:r>
              <w:t xml:space="preserve">Ops Console</w:t>
            </w:r>
          </w:p>
        </w:tc>
        <w:tc>
          <w:tcPr>
            <w:tcW w:w="2340" w:type="dxa"/>
          </w:tcPr>
          <w:p>
            <w:pPr/>
            <w:r>
              <w:rPr>
                <w:rStyle w:val="CodeChar"/>
              </w:rPr>
              <w:t xml:space="preserve">POST /tenants</w:t>
            </w:r>
          </w:p>
        </w:tc>
        <w:tc>
          <w:tcPr>
            <w:tcW w:w="2340" w:type="dxa"/>
          </w:tcPr>
          <w:p>
            <w:pPr/>
            <w:r>
              <w:rPr>
                <w:rStyle w:val="CodeChar"/>
              </w:rPr>
              <w:t xml:space="preserve">intent: tenant.onboard</w:t>
            </w:r>
          </w:p>
        </w:tc>
        <w:tc>
          <w:tcPr>
            <w:tcW w:w="2340" w:type="dxa"/>
          </w:tcPr>
          <w:p>
            <w:pPr/>
            <w:r>
              <w:t xml:space="preserve">Step-up MFA; starts onboarding saga</w:t>
            </w:r>
          </w:p>
        </w:tc>
      </w:tr>
      <w:tr>
        <w:tc>
          <w:tcPr>
            <w:tcW w:w="2340" w:type="dxa"/>
          </w:tcPr>
          <w:p>
            <w:pPr/>
            <w:r>
              <w:t xml:space="preserve">Ops Console</w:t>
            </w:r>
          </w:p>
        </w:tc>
        <w:tc>
          <w:tcPr>
            <w:tcW w:w="2340" w:type="dxa"/>
          </w:tcPr>
          <w:p>
            <w:pPr/>
            <w:r>
              <w:rPr>
                <w:rStyle w:val="CodeChar"/>
              </w:rPr>
              <w:t xml:space="preserve">PUT /policies/{id}/versions</w:t>
            </w:r>
          </w:p>
        </w:tc>
        <w:tc>
          <w:tcPr>
            <w:tcW w:w="2340" w:type="dxa"/>
          </w:tcPr>
          <w:p>
            <w:pPr/>
            <w:r>
              <w:t xml:space="preserve">PAP draft</w:t>
            </w:r>
          </w:p>
        </w:tc>
        <w:tc>
          <w:tcPr>
            <w:tcW w:w="2340" w:type="dxa"/>
          </w:tcPr>
          <w:p>
            <w:pPr/>
            <w:r>
              <w:t xml:space="preserve">Needs second approver to publish</w:t>
            </w:r>
          </w:p>
        </w:tc>
      </w:tr>
      <w:tr>
        <w:tc>
          <w:tcPr>
            <w:tcW w:w="2340" w:type="dxa"/>
          </w:tcPr>
          <w:p>
            <w:pPr/>
            <w:r>
              <w:t xml:space="preserve">Ops Console</w:t>
            </w:r>
          </w:p>
        </w:tc>
        <w:tc>
          <w:tcPr>
            <w:tcW w:w="2340" w:type="dxa"/>
          </w:tcPr>
          <w:p>
            <w:pPr/>
            <w:r>
              <w:rPr>
                <w:rStyle w:val="CodeChar"/>
              </w:rPr>
              <w:t xml:space="preserve">query { shard(id) { health, vaults, routes } }</w:t>
            </w:r>
          </w:p>
        </w:tc>
        <w:tc>
          <w:tcPr>
            <w:tcW w:w="2340" w:type="dxa"/>
          </w:tcPr>
          <w:p>
            <w:pPr/>
            <w:r>
              <w:t xml:space="preserve">Registry + monitoring</w:t>
            </w:r>
          </w:p>
        </w:tc>
        <w:tc>
          <w:tcPr>
            <w:tcW w:w="2340" w:type="dxa"/>
          </w:tcPr>
          <w:p>
            <w:pPr/>
            <w:r>
              <w:t xml:space="preserve">GraphQL for nested ops views</w:t>
            </w:r>
          </w:p>
        </w:tc>
      </w:tr>
      <w:tr>
        <w:tc>
          <w:tcPr>
            <w:tcW w:w="2340" w:type="dxa"/>
          </w:tcPr>
          <w:p>
            <w:pPr/>
            <w:r>
              <w:t xml:space="preserve">Client Wallet</w:t>
            </w:r>
          </w:p>
        </w:tc>
        <w:tc>
          <w:tcPr>
            <w:tcW w:w="2340" w:type="dxa"/>
          </w:tcPr>
          <w:p>
            <w:pPr/>
            <w:r>
              <w:rPr>
                <w:rStyle w:val="CodeChar"/>
              </w:rPr>
              <w:t xml:space="preserve">GET /me/holdings</w:t>
            </w:r>
          </w:p>
        </w:tc>
        <w:tc>
          <w:tcPr>
            <w:tcW w:w="2340" w:type="dxa"/>
          </w:tcPr>
          <w:p>
            <w:pPr/>
            <w:r>
              <w:t xml:space="preserve">Positions projection</w:t>
            </w:r>
          </w:p>
        </w:tc>
        <w:tc>
          <w:tcPr>
            <w:tcW w:w="2340" w:type="dxa"/>
          </w:tcPr>
          <w:p>
            <w:pPr/>
            <w:r>
              <w:t xml:space="preserve">Client-scoped, PII-minimal</w:t>
            </w:r>
          </w:p>
        </w:tc>
      </w:tr>
      <w:tr>
        <w:tc>
          <w:tcPr>
            <w:tcW w:w="2340" w:type="dxa"/>
          </w:tcPr>
          <w:p>
            <w:pPr/>
            <w:r>
              <w:t xml:space="preserve">Client Wallet</w:t>
            </w:r>
          </w:p>
        </w:tc>
        <w:tc>
          <w:tcPr>
            <w:tcW w:w="2340" w:type="dxa"/>
          </w:tcPr>
          <w:p>
            <w:pPr/>
            <w:r>
              <w:rPr>
                <w:rStyle w:val="CodeChar"/>
              </w:rPr>
              <w:t xml:space="preserve">POST /me/deposit-addresses</w:t>
            </w:r>
          </w:p>
        </w:tc>
        <w:tc>
          <w:tcPr>
            <w:tcW w:w="2340" w:type="dxa"/>
          </w:tcPr>
          <w:p>
            <w:pPr/>
            <w:r>
              <w:rPr>
                <w:rStyle w:val="CodeChar"/>
              </w:rPr>
              <w:t xml:space="preserve">intent: wallet.address.create</w:t>
            </w:r>
          </w:p>
        </w:tc>
        <w:tc>
          <w:tcPr>
            <w:tcW w:w="2340" w:type="dxa"/>
          </w:tcPr>
          <w:p>
            <w:pPr/>
            <w:r>
              <w:t xml:space="preserve">Rate limited; rotates addresses</w:t>
            </w:r>
          </w:p>
        </w:tc>
      </w:tr>
      <w:tr>
        <w:tc>
          <w:tcPr>
            <w:tcW w:w="2340" w:type="dxa"/>
          </w:tcPr>
          <w:p>
            <w:pPr/>
            <w:r>
              <w:t xml:space="preserve">Back Office</w:t>
            </w:r>
          </w:p>
        </w:tc>
        <w:tc>
          <w:tcPr>
            <w:tcW w:w="2340" w:type="dxa"/>
          </w:tcPr>
          <w:p>
            <w:pPr/>
            <w:r>
              <w:rPr>
                <w:rStyle w:val="CodeChar"/>
              </w:rPr>
              <w:t xml:space="preserve">GET /recon/breaks?date=</w:t>
            </w:r>
          </w:p>
        </w:tc>
        <w:tc>
          <w:tcPr>
            <w:tcW w:w="2340" w:type="dxa"/>
          </w:tcPr>
          <w:p>
            <w:pPr/>
            <w:r>
              <w:rPr>
                <w:rStyle w:val="CodeChar"/>
              </w:rPr>
              <w:t xml:space="preserve">Recon projection</w:t>
            </w:r>
          </w:p>
        </w:tc>
        <w:tc>
          <w:tcPr>
            <w:tcW w:w="2340" w:type="dxa"/>
          </w:tcPr>
          <w:p>
            <w:pPr/>
            <w:r>
              <w:t xml:space="preserve">Breaks: ledger vs vendor vs chain</w:t>
            </w:r>
          </w:p>
        </w:tc>
      </w:tr>
    </w:tbl>
    <w:p>
      <w:pPr>
        <w:pStyle w:val="Heading3"/>
      </w:pPr>
      <w:r>
        <w:t xml:space="preserve">Contract conventions</w:t>
      </w:r>
    </w:p>
    <w:p>
      <w:pPr>
        <w:pStyle w:val="ListParagraph"/>
        <w:numPr>
          <w:ilvl w:val="0"/>
          <w:numId w:val="10"/>
        </w:numPr>
      </w:pPr>
      <w:r>
        <w:t xml:space="preserve">Errors as RFC 9457 problem details with stable </w:t>
      </w:r>
      <w:r>
        <w:rPr>
          <w:rStyle w:val="CodeChar"/>
        </w:rPr>
        <w:t xml:space="preserve">type</w:t>
      </w:r>
      <w:r>
        <w:t xml:space="preserve"> URIs and the </w:t>
      </w:r>
      <w:r>
        <w:rPr>
          <w:rStyle w:val="CodeChar"/>
        </w:rPr>
        <w:t xml:space="preserve">ref_id</w:t>
      </w:r>
      <w:r>
        <w:t xml:space="preserve">.</w:t>
      </w:r>
    </w:p>
    <w:p>
      <w:pPr>
        <w:pStyle w:val="ListParagraph"/>
        <w:numPr>
          <w:ilvl w:val="0"/>
          <w:numId w:val="10"/>
        </w:numPr>
      </w:pPr>
      <w:r>
        <w:t xml:space="preserve">Monetary amounts as strings with explicit </w:t>
      </w:r>
      <w:r>
        <w:rPr>
          <w:rStyle w:val="CodeChar"/>
        </w:rPr>
        <w:t xml:space="preserve">asset</w:t>
      </w:r>
      <w:r>
        <w:t xml:space="preserve"> and </w:t>
      </w:r>
      <w:r>
        <w:rPr>
          <w:rStyle w:val="CodeChar"/>
        </w:rPr>
        <w:t xml:space="preserve">decimals</w:t>
      </w:r>
      <w:r>
        <w:t xml:space="preserve">; never floating point.</w:t>
      </w:r>
    </w:p>
    <w:p>
      <w:pPr>
        <w:pStyle w:val="ListParagraph"/>
        <w:numPr>
          <w:ilvl w:val="0"/>
          <w:numId w:val="10"/>
        </w:numPr>
      </w:pPr>
      <w:r>
        <w:t xml:space="preserve">Cursor pagination; ISO 8601 UTC timestamps.</w:t>
      </w:r>
    </w:p>
    <w:p>
      <w:pPr>
        <w:pStyle w:val="ListParagraph"/>
        <w:numPr>
          <w:ilvl w:val="0"/>
          <w:numId w:val="10"/>
        </w:numPr>
      </w:pPr>
      <w:r>
        <w:t xml:space="preserve">BFF APIs versioned per client (</w:t>
      </w:r>
      <w:r>
        <w:rPr>
          <w:rStyle w:val="CodeChar"/>
        </w:rPr>
        <w:t xml:space="preserve">/v1</w:t>
      </w:r>
      <w:r>
        <w:t xml:space="preserve">), decoupled from DAP core API versions; contract tests (consumer-driven, e.g. Pact) between each BFF and DAP.</w:t>
      </w:r>
    </w:p>
    <w:p>
      <w:pPr>
        <w:pStyle w:val="Heading2"/>
      </w:pPr>
      <w:r>
        <w:t xml:space="preserve">Implementation, deployment and operations</w:t>
      </w:r>
    </w:p>
    <w:p>
      <w:pPr/>
      <w:r>
        <w:t xml:space="preserve">BFFs are stateless, per-region containers owned by their frontend teams, built on one shared domain SDK so they stay thin and consistent.</w:t>
      </w:r>
    </w:p>
    <w:p>
      <w:pPr>
        <w:pStyle w:val="ListParagraph"/>
        <w:numPr>
          <w:ilvl w:val="0"/>
          <w:numId w:val="11"/>
        </w:numPr>
      </w:pPr>
      <w:r>
        <w:rPr>
          <w:b/>
        </w:rPr>
        <w:t xml:space="preserve">REST vs GraphQL.</w:t>
      </w:r>
      <w:r>
        <w:t xml:space="preserve"> Ops Console benefits from GraphQL (many nested, ad-hoc views). Approver, BU Desk and Client Wallet fit REST / gRPC-web with fixed DTOs — easier to cache, rate-limit and audit. Avoid one federated graph across all BUs: it erodes Chinese-wall boundaries.</w:t>
      </w:r>
    </w:p>
    <w:p>
      <w:pPr>
        <w:pStyle w:val="ListParagraph"/>
        <w:numPr>
          <w:ilvl w:val="0"/>
          <w:numId w:val="11"/>
        </w:numPr>
      </w:pPr>
      <w:r>
        <w:rPr>
          <w:b/>
        </w:rPr>
        <w:t xml:space="preserve">Shared domain SDK.</w:t>
      </w:r>
      <w:r>
        <w:t xml:space="preserve"> Intent builders, </w:t>
      </w:r>
      <w:r>
        <w:rPr>
          <w:rStyle w:val="CodeChar"/>
        </w:rPr>
        <w:t xml:space="preserve">ref_id</w:t>
      </w:r>
      <w:r>
        <w:t xml:space="preserve"> generation, wiring-protocol signing, error mapping and entitlement filters live in one versioned library used by every BFF.</w:t>
      </w:r>
    </w:p>
    <w:p>
      <w:pPr>
        <w:pStyle w:val="ListParagraph"/>
        <w:numPr>
          <w:ilvl w:val="0"/>
          <w:numId w:val="11"/>
        </w:numPr>
      </w:pPr>
      <w:r>
        <w:rPr>
          <w:b/>
        </w:rPr>
        <w:t xml:space="preserve">Deployment.</w:t>
      </w:r>
      <w:r>
        <w:t xml:space="preserve"> Stateless containers per BFF per region behind the API gateway and WAF; horizontal autoscaling on request rate and open SSE connections; tenant-aware through the routing snapshot, not live registry calls.</w:t>
      </w:r>
    </w:p>
    <w:p>
      <w:pPr>
        <w:pStyle w:val="ListParagraph"/>
        <w:numPr>
          <w:ilvl w:val="0"/>
          <w:numId w:val="11"/>
        </w:numPr>
      </w:pPr>
      <w:r>
        <w:rPr>
          <w:b/>
        </w:rPr>
        <w:t xml:space="preserve">Caching.</w:t>
      </w:r>
      <w:r>
        <w:t xml:space="preserve"> Short-TTL caches only for reference data (assets, chains, token metadata); positions and tx state always from projections with </w:t>
      </w:r>
      <w:r>
        <w:rPr>
          <w:rStyle w:val="CodeChar"/>
        </w:rPr>
        <w:t xml:space="preserve">as_of</w:t>
      </w:r>
      <w:r>
        <w:t xml:space="preserve">.</w:t>
      </w:r>
    </w:p>
    <w:p>
      <w:pPr>
        <w:pStyle w:val="ListParagraph"/>
        <w:numPr>
          <w:ilvl w:val="0"/>
          <w:numId w:val="11"/>
        </w:numPr>
      </w:pPr>
      <w:r>
        <w:rPr>
          <w:b/>
        </w:rPr>
        <w:t xml:space="preserve">Resilience.</w:t>
      </w:r>
      <w:r>
        <w:t xml:space="preserve"> Per-downstream timeouts, circuit breakers and bulkheads; degrade to read-only when the intent path is down; resubmits are idempotent on </w:t>
      </w:r>
      <w:r>
        <w:rPr>
          <w:rStyle w:val="CodeChar"/>
        </w:rPr>
        <w:t xml:space="preserve">ref_id</w:t>
      </w:r>
      <w:r>
        <w:t xml:space="preserve">.</w:t>
      </w:r>
    </w:p>
    <w:p>
      <w:pPr>
        <w:pStyle w:val="ListParagraph"/>
        <w:numPr>
          <w:ilvl w:val="0"/>
          <w:numId w:val="11"/>
        </w:numPr>
      </w:pPr>
      <w:r>
        <w:rPr>
          <w:b/>
        </w:rPr>
        <w:t xml:space="preserve">Observability.</w:t>
      </w:r>
      <w:r>
        <w:t xml:space="preserve"> The BFF starts the trace and propagates </w:t>
      </w:r>
      <w:r>
        <w:rPr>
          <w:rStyle w:val="CodeChar"/>
        </w:rPr>
        <w:t xml:space="preserve">traceparent</w:t>
      </w:r>
      <w:r>
        <w:t xml:space="preserve"> plus </w:t>
      </w:r>
      <w:r>
        <w:rPr>
          <w:rStyle w:val="CodeChar"/>
        </w:rPr>
        <w:t xml:space="preserve">ref_id</w:t>
      </w:r>
      <w:r>
        <w:t xml:space="preserve">; RED metrics per endpoint; per-user audit of every intent submitted and every approval view rendered.</w:t>
      </w:r>
    </w:p>
    <w:p>
      <w:pPr>
        <w:pStyle w:val="ListParagraph"/>
        <w:numPr>
          <w:ilvl w:val="0"/>
          <w:numId w:val="11"/>
        </w:numPr>
      </w:pPr>
      <w:r>
        <w:rPr>
          <w:b/>
        </w:rPr>
        <w:t xml:space="preserve">Testing.</w:t>
      </w:r>
      <w:r>
        <w:t xml:space="preserve"> Consumer-driven contract tests against DAP; security tests (DAST, authz matrix per role); load tests sized to the year-1 TPS and concurrent-session targets.</w:t>
      </w:r>
    </w:p>
    <w:p>
      <w:pPr>
        <w:pStyle w:val="ListParagraph"/>
        <w:numPr>
          <w:ilvl w:val="0"/>
          <w:numId w:val="11"/>
        </w:numPr>
      </w:pPr>
      <w:r>
        <w:rPr>
          <w:b/>
        </w:rPr>
        <w:t xml:space="preserve">Ownership.</w:t>
      </w:r>
      <w:r>
        <w:t xml:space="preserve"> Each BFF has a single owning team and on-call; DAP platform team owns the SDK, gateway and projections.</w:t>
      </w:r>
    </w:p>
    <w:p>
      <w:pPr>
        <w:pStyle w:val="Heading2"/>
      </w:pPr>
      <w:r>
        <w:t xml:space="preserve">Anti-patterns and open questions</w:t>
      </w:r>
    </w:p>
    <w:p>
      <w:pPr>
        <w:pStyle w:val="Heading3"/>
      </w:pPr>
      <w:r>
        <w:t xml:space="preserve">Anti-patterns to avoid</w:t>
      </w:r>
    </w:p>
    <w:p>
      <w:pPr>
        <w:pStyle w:val="ListParagraph"/>
        <w:numPr>
          <w:ilvl w:val="0"/>
          <w:numId w:val="12"/>
        </w:numPr>
      </w:pPr>
      <w:r>
        <w:t xml:space="preserve">A "BFF" that grows business rules — it becomes a second, unaudited policy engine.</w:t>
      </w:r>
    </w:p>
    <w:p>
      <w:pPr>
        <w:pStyle w:val="ListParagraph"/>
        <w:numPr>
          <w:ilvl w:val="0"/>
          <w:numId w:val="12"/>
        </w:numPr>
      </w:pPr>
      <w:r>
        <w:t xml:space="preserve">BFFs calling each other — route through DAP APIs or events instead.</w:t>
      </w:r>
    </w:p>
    <w:p>
      <w:pPr>
        <w:pStyle w:val="ListParagraph"/>
        <w:numPr>
          <w:ilvl w:val="0"/>
          <w:numId w:val="12"/>
        </w:numPr>
      </w:pPr>
      <w:r>
        <w:t xml:space="preserve">One BFF per screen — split by user population and trust level, not by page.</w:t>
      </w:r>
    </w:p>
    <w:p>
      <w:pPr>
        <w:pStyle w:val="ListParagraph"/>
        <w:numPr>
          <w:ilvl w:val="0"/>
          <w:numId w:val="12"/>
        </w:numPr>
      </w:pPr>
      <w:r>
        <w:t xml:space="preserve">DAP API keys or signing keys in a frontend bundle or mobile app.</w:t>
      </w:r>
    </w:p>
    <w:p>
      <w:pPr>
        <w:pStyle w:val="ListParagraph"/>
        <w:numPr>
          <w:ilvl w:val="0"/>
          <w:numId w:val="12"/>
        </w:numPr>
      </w:pPr>
      <w:r>
        <w:t xml:space="preserve">Polling DAP for tx status — use the event backbone and push.</w:t>
      </w:r>
    </w:p>
    <w:p>
      <w:pPr>
        <w:pStyle w:val="Heading3"/>
      </w:pPr>
      <w:r>
        <w:t xml:space="preserve">Open questions for the team</w:t>
      </w:r>
    </w:p>
    <w:p>
      <w:pPr>
        <w:pStyle w:val="ListParagraph"/>
        <w:numPr>
          <w:ilvl w:val="0"/>
          <w:numId w:val="13"/>
        </w:numPr>
      </w:pPr>
      <w:r>
        <w:t xml:space="preserve">☐ Is there a firm-standard BFF, API-gateway or token-handler component DAP should reuse?</w:t>
      </w:r>
    </w:p>
    <w:p>
      <w:pPr>
        <w:pStyle w:val="ListParagraph"/>
        <w:numPr>
          <w:ilvl w:val="0"/>
          <w:numId w:val="13"/>
        </w:numPr>
      </w:pPr>
      <w:r>
        <w:t xml:space="preserve">☐ Do approvers use a dedicated app today, or Fireblocks' own mobile approval?</w:t>
      </w:r>
    </w:p>
    <w:p>
      <w:pPr>
        <w:pStyle w:val="ListParagraph"/>
        <w:numPr>
          <w:ilvl w:val="0"/>
          <w:numId w:val="13"/>
        </w:numPr>
      </w:pPr>
      <w:r>
        <w:t xml:space="preserve">☐ Should BU DAMO systems call DAP directly (system-to-system) with only human UIs going via BFFs?</w:t>
      </w:r>
    </w:p>
    <w:p>
      <w:pPr>
        <w:pStyle w:val="ListParagraph"/>
        <w:numPr>
          <w:ilvl w:val="0"/>
          <w:numId w:val="13"/>
        </w:numPr>
      </w:pPr>
      <w:r>
        <w:t xml:space="preserve">☐ Is a client-facing wallet view in scope for WM, and on what timeline?</w:t>
      </w:r>
    </w:p>
    <w:p>
      <w:pPr>
        <w:pStyle w:val="ListParagraph"/>
        <w:numPr>
          <w:ilvl w:val="0"/>
          <w:numId w:val="13"/>
        </w:numPr>
      </w:pPr>
      <w:r>
        <w:t xml:space="preserve">☐ Which team owns the shared domain SDK and the read projections?</w:t>
      </w:r>
    </w:p>
    <w:p>
      <w:pPr>
        <w:pStyle w:val="ListParagraph"/>
        <w:numPr>
          <w:ilvl w:val="0"/>
          <w:numId w:val="13"/>
        </w:numPr>
      </w:pPr>
      <w:r>
        <w:t xml:space="preserve">☐ What are year-1 targets for concurrent sessions and read QPS per BFF?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DAP BFF Architecture (Draft v0.1)</dc:title>
  <dc:description>Claude Docs node/5b9b58cb-6022@26 docx-w6</dc:description>
  <cp:revision>26</cp:revision>
</cp:coreProperties>
</file>