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0d0034b6ef54123" /><Relationship Type="http://schemas.openxmlformats.org/package/2006/relationships/metadata/core-properties" Target="/docProps/core.xml" Id="Rd207cc1c2f6d4406" /><Relationship Type="http://schemas.openxmlformats.org/officeDocument/2006/relationships/extended-properties" Target="/docProps/app.xml" Id="R743493960a5148a2" /><Relationship Type="http://schemas.openxmlformats.org/officeDocument/2006/relationships/custom-properties" Target="/docProps/custom.xml" Id="Rfeb9374e94e24d93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Investment Committee Memorandum</w:t>
      </w:r>
    </w:p>
    <w:p w14:paraId="00100004" w14:textId="00100005">
      <w:pPr>
        <w:pStyle w:val="Subtitle"/>
      </w:pPr>
      <w:r>
        <w:rPr/>
        <w:t xml:space="preserve">Project Alder — first-pass review (synthetic company)</w:t>
      </w:r>
    </w:p>
    <w:p w14:paraId="00100006" w14:textId="00100007">
      <w:pPr/>
      <w:r>
        <w:rPr>
          <w:i/>
          <w:color w:val="666666"/>
          <w:sz w:val="18"/>
        </w:rPr>
        <w:t xml:space="preserve">As of 2025-06-30 · Illustrative workflow — synthetic data · Draft for review</w:t>
      </w:r>
    </w:p>
    <w:p w14:paraId="00100008" w14:textId="00100009">
      <w:pPr>
        <w:pStyle w:val="Heading1"/>
      </w:pPr>
      <w:r>
        <w:rPr/>
        <w:t xml:space="preserve">Executive summary</w:t>
      </w:r>
    </w:p>
    <w:p w14:paraId="0010000A" w14:textId="0010000B">
      <w:pPr/>
      <w:r>
        <w:rPr/>
        <w:t xml:space="preserve">Project Alder is a profitable vertical software business serving specialty logistics operators, with recurring revenue contracts, a concentrated customer base, and meaningful cross-sell potential across its payments and analytics modules. All company data in this memo is synthetic and illustrative.</w:t>
      </w:r>
    </w:p>
    <w:p w14:paraId="0010000C" w14:textId="0010000D">
      <w:pPr/>
      <w:r>
        <w:rPr/>
        <w:t xml:space="preserve">The business generated FY2025 revenue of $48.2 million at an EBITDA margin of 22.4%, with revenue growth of 17.8% year over year. Net revenue retention has remained above 108% in each of the last four quarters.</w:t>
      </w:r>
    </w:p>
    <w:p w14:paraId="0010000E" w14:textId="0010000F">
      <w:pPr/>
      <w:r>
        <w:rPr/>
        <w:t xml:space="preserve">The first-pass case is credible: durable revenue, healthy margins, and an identifiable cross-sell motion. It depends, however, on retention assumptions and margin progression that require diligence before the committee can rely on it. Three figures in this memo are flagged for verification.</w:t>
      </w:r>
    </w:p>
    <w:p w14:paraId="00100010" w14:textId="00100011">
      <w:pPr>
        <w:pStyle w:val="Heading1"/>
      </w:pPr>
      <w:r>
        <w:rPr/>
        <w:t xml:space="preserve">Financial overview</w:t>
      </w:r>
    </w:p>
    <w:p w14:paraId="00100012" w14:textId="00100013">
      <w:pPr/>
      <w:r>
        <w:rPr/>
        <w:t xml:space="preserve">The table below lists every figure used in this memo together with its source and review status. Cell-level lineage is demonstrated only for the Excel-sourced figures; filing, transcript, note, and CSV references are section- or page-level.</w:t>
      </w:r>
    </w:p>
    <w:tbl>
      <w:tblPr>
        <w:tblW w:w="83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100"/>
        <w:gridCol w:w="1750"/>
        <w:gridCol w:w="2800"/>
        <w:gridCol w:w="1650"/>
      </w:tblGrid>
      <w:tr>
        <w:tc>
          <w:tcPr>
            <w:shd w:val="clear" w:fill="1F3864"/>
          </w:tcPr>
          <w:p w14:paraId="00100014" w14:textId="00100015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Metric</w:t>
            </w:r>
          </w:p>
        </w:tc>
        <w:tc>
          <w:tcPr>
            <w:shd w:val="clear" w:fill="1F3864"/>
          </w:tcPr>
          <w:p w14:paraId="00100016" w14:textId="00100017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Value</w:t>
            </w:r>
          </w:p>
        </w:tc>
        <w:tc>
          <w:tcPr>
            <w:shd w:val="clear" w:fill="1F3864"/>
          </w:tcPr>
          <w:p w14:paraId="00100018" w14:textId="00100019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Source</w:t>
            </w:r>
          </w:p>
        </w:tc>
        <w:tc>
          <w:tcPr>
            <w:shd w:val="clear" w:fill="1F3864"/>
          </w:tcPr>
          <w:p w14:paraId="0010001A" w14:textId="0010001B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 w14:paraId="0010001C" w14:textId="0010001D">
            <w:pPr>
              <w:rPr>
                <w:sz w:val="20"/>
              </w:rPr>
            </w:pPr>
            <w:r>
              <w:rPr>
                <w:sz w:val="20"/>
              </w:rPr>
              <w:t xml:space="preserve">Revenue (FY2025)</w:t>
            </w:r>
          </w:p>
        </w:tc>
        <w:tc>
          <w:tcPr/>
          <w:p w14:paraId="0010001E" w14:textId="0010001F">
            <w:pPr>
              <w:rPr>
                <w:sz w:val="20"/>
              </w:rPr>
            </w:pPr>
            <w:r>
              <w:rPr>
                <w:sz w:val="20"/>
              </w:rPr>
              <w:t xml:space="preserve">$48.2 million</w:t>
            </w:r>
          </w:p>
        </w:tc>
        <w:tc>
          <w:tcPr/>
          <w:p w14:paraId="00100020" w14:textId="00100021">
            <w:pPr>
              <w:rPr>
                <w:sz w:val="20"/>
              </w:rPr>
            </w:pPr>
            <w:r>
              <w:rPr>
                <w:sz w:val="20"/>
              </w:rPr>
              <w:t xml:space="preserve">Model_v12.xlsx · RevenueBuild!C8</w:t>
            </w:r>
          </w:p>
        </w:tc>
        <w:tc>
          <w:tcPr/>
          <w:p w14:paraId="00100022" w14:textId="00100023">
            <w:pPr>
              <w:rPr>
                <w:sz w:val="20"/>
              </w:rPr>
            </w:pPr>
            <w:r>
              <w:rPr>
                <w:sz w:val="20"/>
              </w:rPr>
              <w:t xml:space="preserve">Verified (cell-level)</w:t>
            </w:r>
          </w:p>
        </w:tc>
      </w:tr>
      <w:tr>
        <w:tc>
          <w:tcPr/>
          <w:p w14:paraId="00100024" w14:textId="00100025">
            <w:pPr>
              <w:rPr>
                <w:sz w:val="20"/>
              </w:rPr>
            </w:pPr>
            <w:r>
              <w:rPr>
                <w:sz w:val="20"/>
              </w:rPr>
              <w:t xml:space="preserve">EBITDA margin (FY2025)</w:t>
            </w:r>
          </w:p>
        </w:tc>
        <w:tc>
          <w:tcPr/>
          <w:p w14:paraId="00100026" w14:textId="00100027">
            <w:pPr>
              <w:rPr>
                <w:sz w:val="20"/>
              </w:rPr>
            </w:pPr>
            <w:r>
              <w:rPr>
                <w:sz w:val="20"/>
              </w:rPr>
              <w:t xml:space="preserve">22.4%</w:t>
            </w:r>
          </w:p>
        </w:tc>
        <w:tc>
          <w:tcPr/>
          <w:p w14:paraId="00100028" w14:textId="00100029">
            <w:pPr>
              <w:rPr>
                <w:sz w:val="20"/>
              </w:rPr>
            </w:pPr>
            <w:r>
              <w:rPr>
                <w:sz w:val="20"/>
              </w:rPr>
              <w:t xml:space="preserve">Model_v12.xlsx · P&amp;L!B8 ÷ P&amp;L!B4</w:t>
            </w:r>
          </w:p>
        </w:tc>
        <w:tc>
          <w:tcPr/>
          <w:p w14:paraId="0010002A" w14:textId="0010002B">
            <w:pPr>
              <w:rPr>
                <w:sz w:val="20"/>
              </w:rPr>
            </w:pPr>
            <w:r>
              <w:rPr>
                <w:sz w:val="20"/>
              </w:rPr>
              <w:t xml:space="preserve">Verified (derived, cell-level)</w:t>
            </w:r>
          </w:p>
        </w:tc>
      </w:tr>
      <w:tr>
        <w:tc>
          <w:tcPr/>
          <w:p w14:paraId="0010002C" w14:textId="0010002D">
            <w:pPr>
              <w:rPr>
                <w:sz w:val="20"/>
              </w:rPr>
            </w:pPr>
            <w:r>
              <w:rPr>
                <w:sz w:val="20"/>
              </w:rPr>
              <w:t xml:space="preserve">Revenue growth (YoY)</w:t>
            </w:r>
          </w:p>
        </w:tc>
        <w:tc>
          <w:tcPr/>
          <w:p w14:paraId="0010002E" w14:textId="0010002F">
            <w:pPr>
              <w:rPr>
                <w:sz w:val="20"/>
              </w:rPr>
            </w:pPr>
            <w:r>
              <w:rPr>
                <w:sz w:val="20"/>
              </w:rPr>
              <w:t xml:space="preserve">17.8%</w:t>
            </w:r>
          </w:p>
        </w:tc>
        <w:tc>
          <w:tcPr/>
          <w:p w14:paraId="00100030" w14:textId="00100031">
            <w:pPr>
              <w:rPr>
                <w:sz w:val="20"/>
              </w:rPr>
            </w:pPr>
            <w:r>
              <w:rPr>
                <w:sz w:val="20"/>
              </w:rPr>
              <w:t xml:space="preserve">10-Q excerpt · Condensed income statement</w:t>
            </w:r>
          </w:p>
        </w:tc>
        <w:tc>
          <w:tcPr/>
          <w:p w14:paraId="00100032" w14:textId="00100033">
            <w:pPr>
              <w:rPr>
                <w:sz w:val="20"/>
              </w:rPr>
            </w:pPr>
            <w:r>
              <w:rPr>
                <w:sz w:val="20"/>
              </w:rPr>
              <w:t xml:space="preserve">Verified (section-level)</w:t>
            </w:r>
          </w:p>
        </w:tc>
      </w:tr>
      <w:tr>
        <w:tc>
          <w:tcPr/>
          <w:p w14:paraId="00100034" w14:textId="00100035">
            <w:pPr>
              <w:rPr>
                <w:sz w:val="20"/>
              </w:rPr>
            </w:pPr>
            <w:r>
              <w:rPr>
                <w:sz w:val="20"/>
              </w:rPr>
              <w:t xml:space="preserve">Net revenue retention</w:t>
            </w:r>
          </w:p>
        </w:tc>
        <w:tc>
          <w:tcPr/>
          <w:p w14:paraId="00100036" w14:textId="00100037">
            <w:pPr>
              <w:rPr>
                <w:sz w:val="20"/>
              </w:rPr>
            </w:pPr>
            <w:r>
              <w:rPr>
                <w:sz w:val="20"/>
              </w:rPr>
              <w:t xml:space="preserve">above 108%</w:t>
            </w:r>
          </w:p>
        </w:tc>
        <w:tc>
          <w:tcPr/>
          <w:p w14:paraId="00100038" w14:textId="00100039">
            <w:pPr>
              <w:rPr>
                <w:sz w:val="20"/>
              </w:rPr>
            </w:pPr>
            <w:r>
              <w:rPr>
                <w:sz w:val="20"/>
              </w:rPr>
              <w:t xml:space="preserve">Q2 call transcript · Section 4</w:t>
            </w:r>
          </w:p>
        </w:tc>
        <w:tc>
          <w:tcPr/>
          <w:p w14:paraId="0010003A" w14:textId="0010003B">
            <w:pPr>
              <w:rPr>
                <w:sz w:val="20"/>
              </w:rPr>
            </w:pPr>
            <w:r>
              <w:rPr>
                <w:sz w:val="20"/>
              </w:rPr>
              <w:t xml:space="preserve">Verified (section-level)</w:t>
            </w:r>
          </w:p>
        </w:tc>
      </w:tr>
      <w:tr>
        <w:tc>
          <w:tcPr/>
          <w:p w14:paraId="0010003C" w14:textId="0010003D">
            <w:pPr>
              <w:rPr>
                <w:sz w:val="20"/>
              </w:rPr>
            </w:pPr>
            <w:r>
              <w:rPr>
                <w:sz w:val="20"/>
              </w:rPr>
              <w:t xml:space="preserve">Top-10 customer concentration</w:t>
            </w:r>
          </w:p>
        </w:tc>
        <w:tc>
          <w:tcPr/>
          <w:p w14:paraId="0010003E" w14:textId="0010003F">
            <w:pPr>
              <w:rPr>
                <w:sz w:val="20"/>
              </w:rPr>
            </w:pPr>
            <w:r>
              <w:rPr>
                <w:sz w:val="20"/>
              </w:rPr>
              <w:t xml:space="preserve">more than 40% of revenue</w:t>
            </w:r>
          </w:p>
        </w:tc>
        <w:tc>
          <w:tcPr/>
          <w:p w14:paraId="00100040" w14:textId="00100041">
            <w:pPr>
              <w:rPr>
                <w:sz w:val="20"/>
              </w:rPr>
            </w:pPr>
            <w:r>
              <w:rPr>
                <w:sz w:val="20"/>
              </w:rPr>
              <w:t xml:space="preserve">Q2 call transcript · Section 7</w:t>
            </w:r>
          </w:p>
        </w:tc>
        <w:tc>
          <w:tcPr/>
          <w:p w14:paraId="00100042" w14:textId="00100043">
            <w:pPr>
              <w:rPr>
                <w:sz w:val="20"/>
              </w:rPr>
            </w:pPr>
            <w:r>
              <w:rPr>
                <w:sz w:val="20"/>
              </w:rPr>
              <w:t xml:space="preserve">Verified (section-level)</w:t>
            </w:r>
          </w:p>
        </w:tc>
      </w:tr>
      <w:tr>
        <w:tc>
          <w:tcPr/>
          <w:p w14:paraId="00100044" w14:textId="00100045">
            <w:pPr>
              <w:rPr>
                <w:sz w:val="20"/>
              </w:rPr>
            </w:pPr>
            <w:r>
              <w:rPr>
                <w:sz w:val="20"/>
              </w:rPr>
              <w:t xml:space="preserve">Margin guidance (to FY2027)</w:t>
            </w:r>
          </w:p>
        </w:tc>
        <w:tc>
          <w:tcPr/>
          <w:p w14:paraId="00100046" w14:textId="00100047">
            <w:pPr>
              <w:rPr>
                <w:sz w:val="20"/>
              </w:rPr>
            </w:pPr>
            <w:r>
              <w:rPr>
                <w:sz w:val="20"/>
              </w:rPr>
              <w:t xml:space="preserve">+150-200 bps</w:t>
            </w:r>
          </w:p>
        </w:tc>
        <w:tc>
          <w:tcPr/>
          <w:p w14:paraId="00100048" w14:textId="00100049">
            <w:pPr>
              <w:rPr>
                <w:sz w:val="20"/>
              </w:rPr>
            </w:pPr>
            <w:r>
              <w:rPr>
                <w:sz w:val="20"/>
              </w:rPr>
              <w:t xml:space="preserve">10-Q excerpt · MD&amp;A</w:t>
            </w:r>
          </w:p>
        </w:tc>
        <w:tc>
          <w:tcPr/>
          <w:p w14:paraId="0010004A" w14:textId="0010004B">
            <w:pPr>
              <w:rPr>
                <w:sz w:val="20"/>
              </w:rPr>
            </w:pPr>
            <w:r>
              <w:rPr>
                <w:sz w:val="20"/>
              </w:rPr>
              <w:t xml:space="preserve">Needs analyst review</w:t>
            </w:r>
          </w:p>
        </w:tc>
      </w:tr>
      <w:tr>
        <w:tc>
          <w:tcPr/>
          <w:p w14:paraId="0010004C" w14:textId="0010004D">
            <w:pPr>
              <w:rPr>
                <w:sz w:val="20"/>
              </w:rPr>
            </w:pPr>
            <w:r>
              <w:rPr>
                <w:sz w:val="20"/>
              </w:rPr>
              <w:t xml:space="preserve">Net leverage at close</w:t>
            </w:r>
          </w:p>
        </w:tc>
        <w:tc>
          <w:tcPr/>
          <w:p w14:paraId="0010004E" w14:textId="0010004F">
            <w:pPr>
              <w:rPr>
                <w:sz w:val="20"/>
              </w:rPr>
            </w:pPr>
            <w:r>
              <w:rPr>
                <w:sz w:val="20"/>
              </w:rPr>
              <w:t xml:space="preserve">4.0x (assumption)</w:t>
            </w:r>
          </w:p>
        </w:tc>
        <w:tc>
          <w:tcPr/>
          <w:p w14:paraId="00100050" w14:textId="00100051">
            <w:pPr>
              <w:rPr>
                <w:sz w:val="20"/>
              </w:rPr>
            </w:pPr>
            <w:r>
              <w:rPr>
                <w:sz w:val="20"/>
              </w:rPr>
              <w:t xml:space="preserve">Internal model note · Financing assumptions</w:t>
            </w:r>
          </w:p>
        </w:tc>
        <w:tc>
          <w:tcPr/>
          <w:p w14:paraId="00100052" w14:textId="00100053">
            <w:pPr>
              <w:rPr>
                <w:sz w:val="20"/>
              </w:rPr>
            </w:pPr>
            <w:r>
              <w:rPr>
                <w:sz w:val="20"/>
              </w:rPr>
              <w:t xml:space="preserve">Unresolved</w:t>
            </w:r>
          </w:p>
        </w:tc>
      </w:tr>
      <w:tr>
        <w:tc>
          <w:tcPr/>
          <w:p w14:paraId="00100054" w14:textId="00100055">
            <w:pPr>
              <w:rPr>
                <w:sz w:val="20"/>
              </w:rPr>
            </w:pPr>
            <w:r>
              <w:rPr>
                <w:sz w:val="20"/>
              </w:rPr>
              <w:t xml:space="preserve">Comparable transactions</w:t>
            </w:r>
          </w:p>
        </w:tc>
        <w:tc>
          <w:tcPr/>
          <w:p w14:paraId="00100056" w14:textId="00100057">
            <w:pPr>
              <w:rPr>
                <w:sz w:val="20"/>
              </w:rPr>
            </w:pPr>
            <w:r>
              <w:rPr>
                <w:sz w:val="20"/>
              </w:rPr>
              <w:t xml:space="preserve">4.9x-6.8x EV/Revenue</w:t>
            </w:r>
          </w:p>
        </w:tc>
        <w:tc>
          <w:tcPr/>
          <w:p w14:paraId="00100058" w14:textId="00100059">
            <w:pPr>
              <w:rPr>
                <w:sz w:val="20"/>
              </w:rPr>
            </w:pPr>
            <w:r>
              <w:rPr>
                <w:sz w:val="20"/>
              </w:rPr>
              <w:t xml:space="preserve">comps.csv · rows 2-9</w:t>
            </w:r>
          </w:p>
        </w:tc>
        <w:tc>
          <w:tcPr/>
          <w:p w14:paraId="0010005A" w14:textId="0010005B">
            <w:pPr>
              <w:rPr>
                <w:sz w:val="20"/>
              </w:rPr>
            </w:pPr>
            <w:r>
              <w:rPr>
                <w:sz w:val="20"/>
              </w:rPr>
              <w:t xml:space="preserve">Flagged — verify comparability</w:t>
            </w:r>
          </w:p>
        </w:tc>
      </w:tr>
    </w:tbl>
    <w:p w14:paraId="0010005C" w14:textId="0010005D">
      <w:pPr>
        <w:pStyle w:val="Heading1"/>
      </w:pPr>
      <w:r>
        <w:rPr/>
        <w:t xml:space="preserve">Key investment considerations</w:t>
      </w:r>
    </w:p>
    <w:p w14:paraId="0010005E" w14:textId="0010005F">
      <w:pPr>
        <w:numPr>
          <w:ilvl w:val="0"/>
          <w:numId w:val="1"/>
        </w:numPr>
      </w:pPr>
      <w:r>
        <w:rPr/>
        <w:t xml:space="preserve">Recurring revenue: multi-year platform contracts with embedded workflow, giving high revenue visibility.</w:t>
      </w:r>
    </w:p>
    <w:p w14:paraId="00100060" w14:textId="00100061">
      <w:pPr>
        <w:numPr>
          <w:ilvl w:val="0"/>
          <w:numId w:val="1"/>
        </w:numPr>
      </w:pPr>
      <w:r>
        <w:rPr/>
        <w:t xml:space="preserve">Retention: net revenue retention has remained above 108% in each of the last four quarters, indicating an expanding installed base.</w:t>
      </w:r>
    </w:p>
    <w:p w14:paraId="00100062" w14:textId="00100063">
      <w:pPr>
        <w:numPr>
          <w:ilvl w:val="0"/>
          <w:numId w:val="1"/>
        </w:numPr>
      </w:pPr>
      <w:r>
        <w:rPr/>
        <w:t xml:space="preserve">Cross-sell potential: payments and analytics modules attach to the core platform and are early in their penetration curve.</w:t>
      </w:r>
    </w:p>
    <w:p w14:paraId="00100064" w14:textId="00100065">
      <w:pPr>
        <w:numPr>
          <w:ilvl w:val="0"/>
          <w:numId w:val="1"/>
        </w:numPr>
      </w:pPr>
      <w:r>
        <w:rPr/>
        <w:t xml:space="preserve">Market pricing: comparable vertical-software transactions cleared at 4.9x-6.8x EV/Revenue per the vendor export; this range is flagged pending a comparability review.</w:t>
      </w:r>
    </w:p>
    <w:p w14:paraId="00100066" w14:textId="00100067">
      <w:pPr>
        <w:pStyle w:val="Heading1"/>
      </w:pPr>
      <w:r>
        <w:rPr/>
        <w:t xml:space="preserve">Principal risks</w:t>
      </w:r>
    </w:p>
    <w:p w14:paraId="00100068" w14:textId="00100069">
      <w:pPr>
        <w:numPr>
          <w:ilvl w:val="0"/>
          <w:numId w:val="2"/>
        </w:numPr>
      </w:pPr>
      <w:r>
        <w:rPr/>
        <w:t xml:space="preserve">Customer concentration: the top ten customers account for more than 40% of revenue, so the loss of one or two anchor accounts would materially affect the plan.</w:t>
      </w:r>
    </w:p>
    <w:p w14:paraId="0010006A" w14:textId="0010006B">
      <w:pPr>
        <w:numPr>
          <w:ilvl w:val="0"/>
          <w:numId w:val="2"/>
        </w:numPr>
      </w:pPr>
      <w:r>
        <w:rPr/>
        <w:t xml:space="preserve">Margin progression: management guidance implies EBITDA margin expansion of roughly 150-200 bps by FY2027, but this is derived from qualitative MD&amp;A language and needs analyst confirmation.</w:t>
      </w:r>
    </w:p>
    <w:p w14:paraId="0010006C" w14:textId="0010006D">
      <w:pPr>
        <w:numPr>
          <w:ilvl w:val="0"/>
          <w:numId w:val="2"/>
        </w:numPr>
      </w:pPr>
      <w:r>
        <w:rPr/>
        <w:t xml:space="preserve">Retention dependence: the base case assumes retention holds at recent levels; cohort-level evidence has not yet been reviewed.</w:t>
      </w:r>
    </w:p>
    <w:p w14:paraId="0010006E" w14:textId="0010006F">
      <w:pPr>
        <w:numPr>
          <w:ilvl w:val="0"/>
          <w:numId w:val="2"/>
        </w:numPr>
      </w:pPr>
      <w:r>
        <w:rPr/>
        <w:t xml:space="preserve">Financing: the base case assumes net leverage of 4.0x at close, which is unresolved pending lender feedback.</w:t>
      </w:r>
    </w:p>
    <w:p w14:paraId="00100070" w14:textId="00100071">
      <w:pPr>
        <w:pStyle w:val="Heading1"/>
      </w:pPr>
      <w:r>
        <w:rPr/>
        <w:t xml:space="preserve">Open diligence items</w:t>
      </w:r>
    </w:p>
    <w:p w14:paraId="00100072" w14:textId="00100073">
      <w:pPr>
        <w:numPr>
          <w:ilvl w:val="0"/>
          <w:numId w:val="3"/>
        </w:numPr>
      </w:pPr>
      <w:r>
        <w:rPr/>
        <w:t xml:space="preserve">Confirm the net leverage assumption (4.0x at close) with financing counterparties — currently unresolved.</w:t>
      </w:r>
    </w:p>
    <w:p w14:paraId="00100074" w14:textId="00100075">
      <w:pPr>
        <w:numPr>
          <w:ilvl w:val="0"/>
          <w:numId w:val="3"/>
        </w:numPr>
      </w:pPr>
      <w:r>
        <w:rPr/>
        <w:t xml:space="preserve">Verify comparability of the comps.csv transaction set before quoting the 4.9x-6.8x range.</w:t>
      </w:r>
    </w:p>
    <w:p w14:paraId="00100076" w14:textId="00100077">
      <w:pPr>
        <w:numPr>
          <w:ilvl w:val="0"/>
          <w:numId w:val="3"/>
        </w:numPr>
      </w:pPr>
      <w:r>
        <w:rPr/>
        <w:t xml:space="preserve">Obtain a management margin bridge supporting the implied 150-200 bps expansion to FY2027.</w:t>
      </w:r>
    </w:p>
    <w:p w14:paraId="00100078" w14:textId="00100079">
      <w:pPr>
        <w:numPr>
          <w:ilvl w:val="0"/>
          <w:numId w:val="3"/>
        </w:numPr>
      </w:pPr>
      <w:r>
        <w:rPr/>
        <w:t xml:space="preserve">Run cohort-level retention analysis to substantiate the above-108% net revenue retention claim.</w:t>
      </w:r>
    </w:p>
    <w:p w14:paraId="0010007A" w14:textId="0010007B">
      <w:pPr>
        <w:pStyle w:val="Heading1"/>
      </w:pPr>
      <w:r>
        <w:rPr/>
        <w:t xml:space="preserve">Review checklist reference</w:t>
      </w:r>
    </w:p>
    <w:p w14:paraId="0010007C" w14:textId="0010007D">
      <w:pPr/>
      <w:r>
        <w:rPr/>
        <w:t xml:space="preserve">A machine-generated review checklist accompanies this memo (Project_Alder_Review_Checklist.md). Nine approved sources were used; one candidate source was excluded under the source policy; three figures are flagged for verification. This memo is a draft for review and carries no reviewer sign-off.</w:t>
      </w:r>
    </w:p>
    <w:sectPr>
      <w:footerReference w:type="default" r:id="R7c6af712183f4eae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02" w14:textId="00100003">
    <w:pPr>
      <w:jc w:val="center"/>
    </w:pPr>
    <w:r>
      <w:t xml:space="preserve">Illustrative workflow — synthetic data · Draft for review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qFormat/>
    <w:pPr>
      <w:spacing w:after="80"/>
    </w:pPr>
    <w:rPr>
      <w:b/>
      <w:color w:val="1F3864"/>
      <w:sz w:val="52"/>
    </w:rPr>
  </w:style>
  <w:style w:type="paragraph" w:styleId="Subtitle">
    <w:name w:val="Subtitle"/>
    <w:basedOn w:val="Normal"/>
    <w:qFormat/>
    <w:pPr>
      <w:spacing w:after="240"/>
    </w:pPr>
    <w:rPr>
      <w:color w:val="4A5568"/>
      <w:sz w:val="26"/>
    </w:rPr>
  </w:style>
  <w:style w:type="paragraph" w:styleId="Heading1">
    <w:name w:val="heading 1"/>
    <w:basedOn w:val="Normal"/>
    <w:next w:val="Normal"/>
    <w:qFormat/>
    <w:pPr>
      <w:spacing w:before="280" w:after="120"/>
    </w:pPr>
    <w:rPr>
      <w:b/>
      <w:color w:val="1F3864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d0b5fd7ac5d4b8b" /><Relationship Type="http://schemas.openxmlformats.org/officeDocument/2006/relationships/styles" Target="/word/styles.xml" Id="R392ce82e4a0949e1" /><Relationship Type="http://schemas.openxmlformats.org/officeDocument/2006/relationships/theme" Target="/word/theme/theme1.xml" Id="R66b7c51386c74824" /><Relationship Type="http://schemas.openxmlformats.org/officeDocument/2006/relationships/numbering" Target="/word/numbering.xml" Id="R15b1d6ae735043a6" /><Relationship Type="http://schemas.openxmlformats.org/officeDocument/2006/relationships/footer" Target="/word/footer1.xml" Id="R7c6af712183f4e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OfficeCLI/1.0.135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2026-07-10T06:27:58Z</dcterms:created>
  <cp:lastModifiedBy>OfficeCLI</cp:lastModifiedBy>
  <dcterms:modified xsi:type="dcterms:W3CDTF">2026-07-10T06:27:58Z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1.0.135</vt:lpwstr>
  </op:property>
  <op:property fmtid="{D5CDD505-2E9C-101B-9397-08002B2CF9AE}" pid="3" name="OfficeCLI.LastModified">
    <vt:lpwstr xmlns:vt="http://schemas.openxmlformats.org/officeDocument/2006/docPropsVTypes">2026-07-10T06:47:22Z</vt:lpwstr>
  </op:property>
</op:Properties>
</file>