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Beyond Accuracy: Profitability-Driven Evaluation of Limit Order Book Machine Learning Trading Models</w:t>
      </w:r>
    </w:p>
    <w:p>
      <w:pPr>
        <w:jc w:val="center"/>
      </w:pPr>
      <w:r>
        <w:rPr>
          <w:rFonts w:ascii="Times New Roman" w:hAnsi="Times New Roman"/>
          <w:i/>
          <w:sz w:val="22"/>
        </w:rPr>
        <w:t>Rahul Yadav</w:t>
        <w:br/>
        <w:t>Department of Mathematics</w:t>
        <w:br/>
        <w:t>Target Venue: IEEE / Springer International Conference on Machine Learning &amp; Financial Engineering</w:t>
      </w:r>
    </w:p>
    <w:p/>
    <w:p>
      <w:r>
        <w:rPr>
          <w:b/>
          <w:sz w:val="24"/>
        </w:rPr>
        <w:t>Abstract</w:t>
      </w:r>
    </w:p>
    <w:p>
      <w:pPr>
        <w:ind w:left="576" w:right="576"/>
      </w:pPr>
      <w:r>
        <w:t xml:space="preserve">High-frequency financial machine learning models trained on Limit Order Book (LOB) data routinely report statistical classification accuracy exceeding 65% to 75% on benchmark datasets. However, when deployed in realistic backtesting environments or live execution, these models almost universally experience severe capital drawdown and negative realized Sharpe ratios. This disconnect—termed the Accuracy-Profitability Paradox—stems from three pervasive methodological deficiencies in the literature: (1) evaluating models strictly on statistical metrics without execution friction, (2) ignoring non-stationary Order Flow Imbalance (OFI) and cancellation dynamics, and (3) failing to account for market microstructure regime shifts. </w:t>
        <w:br/>
        <w:br/>
        <w:t>To resolve these deficiencies, this paper introduces the LOB-PROFIT Framework, an end-to-end research and evaluation system consisting of seven formal phases: zero-lookahead expanding-window Z-score preprocessing, a 4-Tier Feature Engineering Taxonomy (raw grids, microstructure scalars, multi-level OFI with PCA, and volatility dynamics), a standardized Model Zoo (Logistic Regression, Random Forest, XGBoost, DeepLOB CNN, DeepLOB CNN+LSTM, and LiT Transformer), dynamic confidence thresholding, the Realistic Execution Cost Integration Model (RECIM) incorporating half-spreads, exchange fees, and Bucci et al. square-root market impact, the Multi-Dimensional Metric Taxonomy (MDMT) evaluating 5 tiers of metrics, and the Regime-Adaptive Evaluation Protocol (RAEP). Evaluated across four diverse datasets—Binance BTC/USDT, Binance ETH/USDT, a 15-level high-density Bitcoin order book with cancellation notional, and the benchmark FI-2010 Helsinki equities dataset—our empirical findings confirm that statistical accuracy correlates weakly with realized Sharpe ratios. While sub-second snapshot models bleed capital due to taker fee friction, models incorporating 15-level depth and order cancellation notional on 1-minute aggregations achieve positive realized alpha (DeepLOB CNN: Accuracy 61.54%, Win Rate 53.33%, Net PnL +464.31 USDT, Net Sharpe +15.50). Intra-crypto domain transfer (BTC -&gt; ETH) demonstrates strong generalization (PDI = -18.90%), whereas cross-domain transfer to equities (Crypto -&gt; FI-2010) exhibits severe degradation (PDI = +43.23%). All models evaluate within a 2.5 ms latency budget, validating real-time deployability.</w:t>
      </w:r>
    </w:p>
    <w:p>
      <w:pPr>
        <w:ind w:left="576" w:right="576"/>
      </w:pPr>
      <w:r>
        <w:rPr>
          <w:b/>
        </w:rPr>
        <w:t xml:space="preserve">Keywords: </w:t>
      </w:r>
      <w:r>
        <w:t>Limit Order Book (LOB), High-Frequency Trading (HFT), Machine Learning, DeepLOB, Order Flow Imbalance (OFI), Market Impact, RECIM, MDMT, Financial Microstructure.</w:t>
      </w:r>
    </w:p>
    <w:p/>
    <w:p>
      <w:pPr>
        <w:pStyle w:val="Heading1"/>
      </w:pPr>
      <w:r>
        <w:t>1. Introduction and Problem Statement</w:t>
      </w:r>
    </w:p>
    <w:p>
      <w:r>
        <w:t>Modern electronic financial exchanges operate as continuous double auctions organized into Limit Order Books (LOBs). At any continuous instant, the LOB records the discrete supply and demand schedule of market participants across multiple price queues. The arrival of deep learning architectures—most notably DeepLOB (Zhang et al., 2019) and Attention Transformers (Li et al., 2025)—has catalyzed significant academic interest in treating next-interval mid-price direction forecasting as a multiclass classification problem (y_t in {-1, 0, +1}).</w:t>
      </w:r>
    </w:p>
    <w:p>
      <w:r>
        <w:t>Despite state-of-the-art papers reporting classification accuracies between 65% and 85%, quantitative hedge funds and empirical researchers encounter a consistent breakdown when attempting to monetize these signals in live trading: High statistical accuracy does not imply positive net realized PnL. This breakdown is defined as the Accuracy-Profitability Paradox.</w:t>
      </w:r>
    </w:p>
    <w:p>
      <w:r>
        <w:t>This failure arises from four fundamental market frictions that standard academic formulations overlook:</w:t>
        <w:br/>
        <w:t>1. Spread Drag: Crossing the bid-ask spread with aggressive market orders incurs half the instantaneous spread (s_t / 2). If the subsequent price movement is smaller than s_t / 2, a statistically 'correct' directional prediction produces a guaranteed financial loss.</w:t>
        <w:br/>
        <w:t>2. Exchange Fee Friction: High-frequency trading exchanges charge taker fees (typically 2 to 5 basis points) while granting maker rebates for passive resting liquidity. High signal turnover compounding sub-second trades rapidly exhausts portfolio capital.</w:t>
        <w:br/>
        <w:t>3. Endogenous Market Impact: Executing institutional order volumes perturbs order queues, inducing non-linear price impact governed by square-root laws (Bucci et al., 2019).</w:t>
        <w:br/>
        <w:t>4. Non-Stationarity and Regime Shifts: Models trained over calm market conditions experience catastrophic drawdown when volatility spikes or liquidity evaporates.</w:t>
      </w:r>
    </w:p>
    <w:p>
      <w:r>
        <w:drawing>
          <wp:inline xmlns:a="http://schemas.openxmlformats.org/drawingml/2006/main" xmlns:pic="http://schemas.openxmlformats.org/drawingml/2006/picture">
            <wp:extent cx="5669280" cy="1733568"/>
            <wp:docPr id="1" name="Picture 1"/>
            <wp:cNvGraphicFramePr>
              <a:graphicFrameLocks noChangeAspect="1"/>
            </wp:cNvGraphicFramePr>
            <a:graphic>
              <a:graphicData uri="http://schemas.openxmlformats.org/drawingml/2006/picture">
                <pic:pic>
                  <pic:nvPicPr>
                    <pic:cNvPr id="0" name="figure_01_lob_profit_pipeline.png"/>
                    <pic:cNvPicPr/>
                  </pic:nvPicPr>
                  <pic:blipFill>
                    <a:blip r:embed="rId9"/>
                    <a:stretch>
                      <a:fillRect/>
                    </a:stretch>
                  </pic:blipFill>
                  <pic:spPr>
                    <a:xfrm>
                      <a:off x="0" y="0"/>
                      <a:ext cx="5669280" cy="1733568"/>
                    </a:xfrm>
                    <a:prstGeom prst="rect"/>
                  </pic:spPr>
                </pic:pic>
              </a:graphicData>
            </a:graphic>
          </wp:inline>
        </w:drawing>
      </w:r>
    </w:p>
    <w:p>
      <w:pPr>
        <w:jc w:val="center"/>
      </w:pPr>
      <w:r>
        <w:rPr>
          <w:i/>
          <w:sz w:val="19"/>
        </w:rPr>
        <w:t>Figure 1: Complete 7-Phase Architecture of the LOB-PROFIT Framework, spanning data acquisition, 4-tier feature extraction, model zoo, dynamic thresholding, RECIM execution, MDMT multi-dimensional evaluation, and regime-adaptive walk-forward cross-validation.</w:t>
      </w:r>
    </w:p>
    <w:p>
      <w:pPr>
        <w:pStyle w:val="Heading1"/>
      </w:pPr>
      <w:r>
        <w:t>2. Related Work and State of the Art</w:t>
      </w:r>
    </w:p>
    <w:p>
      <w:r>
        <w:t>High-frequency limit order book modeling intersects machine learning, empirical market microstructure, and algorithmic execution. Table 1 summarizes landmark research in this domain over the 2019–2025 period.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6ECF5"/>
          </w:tcPr>
          <w:p>
            <w:r>
              <w:rPr>
                <w:b/>
              </w:rPr>
              <w:t>Citation</w:t>
            </w:r>
          </w:p>
        </w:tc>
        <w:tc>
          <w:tcPr>
            <w:tcW w:type="dxa" w:w="1560"/>
            <w:shd w:fill="E6ECF5"/>
          </w:tcPr>
          <w:p>
            <w:r>
              <w:rPr>
                <w:b/>
              </w:rPr>
              <w:t>Year</w:t>
            </w:r>
          </w:p>
        </w:tc>
        <w:tc>
          <w:tcPr>
            <w:tcW w:type="dxa" w:w="1560"/>
            <w:shd w:fill="E6ECF5"/>
          </w:tcPr>
          <w:p>
            <w:r>
              <w:rPr>
                <w:b/>
              </w:rPr>
              <w:t>Asset Class</w:t>
            </w:r>
          </w:p>
        </w:tc>
        <w:tc>
          <w:tcPr>
            <w:tcW w:type="dxa" w:w="1560"/>
            <w:shd w:fill="E6ECF5"/>
          </w:tcPr>
          <w:p>
            <w:r>
              <w:rPr>
                <w:b/>
              </w:rPr>
              <w:t>Model Architecture</w:t>
            </w:r>
          </w:p>
        </w:tc>
        <w:tc>
          <w:tcPr>
            <w:tcW w:type="dxa" w:w="1560"/>
            <w:shd w:fill="E6ECF5"/>
          </w:tcPr>
          <w:p>
            <w:r>
              <w:rPr>
                <w:b/>
              </w:rPr>
              <w:t>Primary Metric</w:t>
            </w:r>
          </w:p>
        </w:tc>
        <w:tc>
          <w:tcPr>
            <w:tcW w:type="dxa" w:w="1560"/>
            <w:shd w:fill="E6ECF5"/>
          </w:tcPr>
          <w:p>
            <w:r>
              <w:rPr>
                <w:b/>
              </w:rPr>
              <w:t>Major Limitation Addressed</w:t>
            </w:r>
          </w:p>
        </w:tc>
      </w:tr>
      <w:tr>
        <w:tc>
          <w:tcPr>
            <w:tcW w:type="dxa" w:w="1560"/>
          </w:tcPr>
          <w:p>
            <w:r>
              <w:t>Zhang et al.</w:t>
            </w:r>
          </w:p>
        </w:tc>
        <w:tc>
          <w:tcPr>
            <w:tcW w:type="dxa" w:w="1560"/>
          </w:tcPr>
          <w:p>
            <w:r>
              <w:t>2019</w:t>
            </w:r>
          </w:p>
        </w:tc>
        <w:tc>
          <w:tcPr>
            <w:tcW w:type="dxa" w:w="1560"/>
          </w:tcPr>
          <w:p>
            <w:r>
              <w:t>Equities (FI-2010)</w:t>
            </w:r>
          </w:p>
        </w:tc>
        <w:tc>
          <w:tcPr>
            <w:tcW w:type="dxa" w:w="1560"/>
          </w:tcPr>
          <w:p>
            <w:r>
              <w:t>DeepLOB (Spatial CNN + LSTM)</w:t>
            </w:r>
          </w:p>
        </w:tc>
        <w:tc>
          <w:tcPr>
            <w:tcW w:type="dxa" w:w="1560"/>
          </w:tcPr>
          <w:p>
            <w:r>
              <w:t>Macro F1 = 0.783</w:t>
            </w:r>
          </w:p>
        </w:tc>
        <w:tc>
          <w:tcPr>
            <w:tcW w:type="dxa" w:w="1560"/>
          </w:tcPr>
          <w:p>
            <w:r>
              <w:t>Assumes zero transaction cost, zero spread cost, and instantaneous fills.</w:t>
            </w:r>
          </w:p>
        </w:tc>
      </w:tr>
      <w:tr>
        <w:tc>
          <w:tcPr>
            <w:tcW w:type="dxa" w:w="1560"/>
          </w:tcPr>
          <w:p>
            <w:r>
              <w:t>Nousi et al.</w:t>
            </w:r>
          </w:p>
        </w:tc>
        <w:tc>
          <w:tcPr>
            <w:tcW w:type="dxa" w:w="1560"/>
          </w:tcPr>
          <w:p>
            <w:r>
              <w:t>2019</w:t>
            </w:r>
          </w:p>
        </w:tc>
        <w:tc>
          <w:tcPr>
            <w:tcW w:type="dxa" w:w="1560"/>
          </w:tcPr>
          <w:p>
            <w:r>
              <w:t>Equities (FI-2010)</w:t>
            </w:r>
          </w:p>
        </w:tc>
        <w:tc>
          <w:tcPr>
            <w:tcW w:type="dxa" w:w="1560"/>
          </w:tcPr>
          <w:p>
            <w:r>
              <w:t>Bag-of-Features + MLPs</w:t>
            </w:r>
          </w:p>
        </w:tc>
        <w:tc>
          <w:tcPr>
            <w:tcW w:type="dxa" w:w="1560"/>
          </w:tcPr>
          <w:p>
            <w:r>
              <w:t>Accuracy = 68.2%</w:t>
            </w:r>
          </w:p>
        </w:tc>
        <w:tc>
          <w:tcPr>
            <w:tcW w:type="dxa" w:w="1560"/>
          </w:tcPr>
          <w:p>
            <w:r>
              <w:t>No execution simulation; evaluates accuracy exclusively.</w:t>
            </w:r>
          </w:p>
        </w:tc>
      </w:tr>
      <w:tr>
        <w:tc>
          <w:tcPr>
            <w:tcW w:type="dxa" w:w="1560"/>
          </w:tcPr>
          <w:p>
            <w:r>
              <w:t>Cont et al.</w:t>
            </w:r>
          </w:p>
        </w:tc>
        <w:tc>
          <w:tcPr>
            <w:tcW w:type="dxa" w:w="1560"/>
          </w:tcPr>
          <w:p>
            <w:r>
              <w:t>2023</w:t>
            </w:r>
          </w:p>
        </w:tc>
        <w:tc>
          <w:tcPr>
            <w:tcW w:type="dxa" w:w="1560"/>
          </w:tcPr>
          <w:p>
            <w:r>
              <w:t>US Equities (NASDAQ)</w:t>
            </w:r>
          </w:p>
        </w:tc>
        <w:tc>
          <w:tcPr>
            <w:tcW w:type="dxa" w:w="1560"/>
          </w:tcPr>
          <w:p>
            <w:r>
              <w:t>Multi-Level Linear OFI</w:t>
            </w:r>
          </w:p>
        </w:tc>
        <w:tc>
          <w:tcPr>
            <w:tcW w:type="dxa" w:w="1560"/>
          </w:tcPr>
          <w:p>
            <w:r>
              <w:t>R^2 = 0.65</w:t>
            </w:r>
          </w:p>
        </w:tc>
        <w:tc>
          <w:tcPr>
            <w:tcW w:type="dxa" w:w="1560"/>
          </w:tcPr>
          <w:p>
            <w:r>
              <w:t>Linear econometric formulation; lacks non-linear deep learning integration.</w:t>
            </w:r>
          </w:p>
        </w:tc>
      </w:tr>
      <w:tr>
        <w:tc>
          <w:tcPr>
            <w:tcW w:type="dxa" w:w="1560"/>
          </w:tcPr>
          <w:p>
            <w:r>
              <w:t>Kolm et al.</w:t>
            </w:r>
          </w:p>
        </w:tc>
        <w:tc>
          <w:tcPr>
            <w:tcW w:type="dxa" w:w="1560"/>
          </w:tcPr>
          <w:p>
            <w:r>
              <w:t>2023</w:t>
            </w:r>
          </w:p>
        </w:tc>
        <w:tc>
          <w:tcPr>
            <w:tcW w:type="dxa" w:w="1560"/>
          </w:tcPr>
          <w:p>
            <w:r>
              <w:t>115 NASDAQ Equities</w:t>
            </w:r>
          </w:p>
        </w:tc>
        <w:tc>
          <w:tcPr>
            <w:tcW w:type="dxa" w:w="1560"/>
          </w:tcPr>
          <w:p>
            <w:r>
              <w:t>Deep OFI (Multi-Horizon LSTM)</w:t>
            </w:r>
          </w:p>
        </w:tc>
        <w:tc>
          <w:tcPr>
            <w:tcW w:type="dxa" w:w="1560"/>
          </w:tcPr>
          <w:p>
            <w:r>
              <w:t>Info Ratio = 1.42</w:t>
            </w:r>
          </w:p>
        </w:tc>
        <w:tc>
          <w:tcPr>
            <w:tcW w:type="dxa" w:w="1560"/>
          </w:tcPr>
          <w:p>
            <w:r>
              <w:t>Proprietary institutional dataset; execution friction not explicitly isolated.</w:t>
            </w:r>
          </w:p>
        </w:tc>
      </w:tr>
      <w:tr>
        <w:tc>
          <w:tcPr>
            <w:tcW w:type="dxa" w:w="1560"/>
          </w:tcPr>
          <w:p>
            <w:r>
              <w:t>Bucci et al.</w:t>
            </w:r>
          </w:p>
        </w:tc>
        <w:tc>
          <w:tcPr>
            <w:tcW w:type="dxa" w:w="1560"/>
          </w:tcPr>
          <w:p>
            <w:r>
              <w:t>2019</w:t>
            </w:r>
          </w:p>
        </w:tc>
        <w:tc>
          <w:tcPr>
            <w:tcW w:type="dxa" w:w="1560"/>
          </w:tcPr>
          <w:p>
            <w:r>
              <w:t>Global Equities (8M trades)</w:t>
            </w:r>
          </w:p>
        </w:tc>
        <w:tc>
          <w:tcPr>
            <w:tcW w:type="dxa" w:w="1560"/>
          </w:tcPr>
          <w:p>
            <w:r>
              <w:t>Square-Root Impact Model</w:t>
            </w:r>
          </w:p>
        </w:tc>
        <w:tc>
          <w:tcPr>
            <w:tcW w:type="dxa" w:w="1560"/>
          </w:tcPr>
          <w:p>
            <w:r>
              <w:t>Crossover scale xi*</w:t>
            </w:r>
          </w:p>
        </w:tc>
        <w:tc>
          <w:tcPr>
            <w:tcW w:type="dxa" w:w="1560"/>
          </w:tcPr>
          <w:p>
            <w:r>
              <w:t>Focuses purely on physics of market impact without predictive ML models.</w:t>
            </w:r>
          </w:p>
        </w:tc>
      </w:tr>
      <w:tr>
        <w:tc>
          <w:tcPr>
            <w:tcW w:type="dxa" w:w="1560"/>
          </w:tcPr>
          <w:p>
            <w:r>
              <w:t>Briola et al.</w:t>
            </w:r>
          </w:p>
        </w:tc>
        <w:tc>
          <w:tcPr>
            <w:tcW w:type="dxa" w:w="1560"/>
          </w:tcPr>
          <w:p>
            <w:r>
              <w:t>2024</w:t>
            </w:r>
          </w:p>
        </w:tc>
        <w:tc>
          <w:tcPr>
            <w:tcW w:type="dxa" w:w="1560"/>
          </w:tcPr>
          <w:p>
            <w:r>
              <w:t>NASDAQ Equities</w:t>
            </w:r>
          </w:p>
        </w:tc>
        <w:tc>
          <w:tcPr>
            <w:tcW w:type="dxa" w:w="1560"/>
          </w:tcPr>
          <w:p>
            <w:r>
              <w:t>DeepLOB / Microstructure CNN</w:t>
            </w:r>
          </w:p>
        </w:tc>
        <w:tc>
          <w:tcPr>
            <w:tcW w:type="dxa" w:w="1560"/>
          </w:tcPr>
          <w:p>
            <w:r>
              <w:t>Accuracy = 64.1%</w:t>
            </w:r>
          </w:p>
        </w:tc>
        <w:tc>
          <w:tcPr>
            <w:tcW w:type="dxa" w:w="1560"/>
          </w:tcPr>
          <w:p>
            <w:r>
              <w:t>Proves the accuracy-profit disconnect empirically but provides no multi-tier metric taxonomy.</w:t>
            </w:r>
          </w:p>
        </w:tc>
      </w:tr>
      <w:tr>
        <w:tc>
          <w:tcPr>
            <w:tcW w:type="dxa" w:w="1560"/>
          </w:tcPr>
          <w:p>
            <w:r>
              <w:t>Li et al.</w:t>
            </w:r>
          </w:p>
        </w:tc>
        <w:tc>
          <w:tcPr>
            <w:tcW w:type="dxa" w:w="1560"/>
          </w:tcPr>
          <w:p>
            <w:r>
              <w:t>2025</w:t>
            </w:r>
          </w:p>
        </w:tc>
        <w:tc>
          <w:tcPr>
            <w:tcW w:type="dxa" w:w="1560"/>
          </w:tcPr>
          <w:p>
            <w:r>
              <w:t>Equities &amp; Crypto</w:t>
            </w:r>
          </w:p>
        </w:tc>
        <w:tc>
          <w:tcPr>
            <w:tcW w:type="dxa" w:w="1560"/>
          </w:tcPr>
          <w:p>
            <w:r>
              <w:t>LiT (LOB Transformer)</w:t>
            </w:r>
          </w:p>
        </w:tc>
        <w:tc>
          <w:tcPr>
            <w:tcW w:type="dxa" w:w="1560"/>
          </w:tcPr>
          <w:p>
            <w:r>
              <w:t>Accuracy = 73.4%</w:t>
            </w:r>
          </w:p>
        </w:tc>
        <w:tc>
          <w:tcPr>
            <w:tcW w:type="dxa" w:w="1560"/>
          </w:tcPr>
          <w:p>
            <w:r>
              <w:t>High model complexity; does not incorporate OFI decomposition or transaction fees.</w:t>
            </w:r>
          </w:p>
        </w:tc>
      </w:tr>
      <w:tr>
        <w:tc>
          <w:tcPr>
            <w:tcW w:type="dxa" w:w="1560"/>
          </w:tcPr>
          <w:p>
            <w:r>
              <w:t>Our Work</w:t>
            </w:r>
          </w:p>
        </w:tc>
        <w:tc>
          <w:tcPr>
            <w:tcW w:type="dxa" w:w="1560"/>
          </w:tcPr>
          <w:p>
            <w:r>
              <w:t>2026</w:t>
            </w:r>
          </w:p>
        </w:tc>
        <w:tc>
          <w:tcPr>
            <w:tcW w:type="dxa" w:w="1560"/>
          </w:tcPr>
          <w:p>
            <w:r>
              <w:t>Crypto &amp; Benchmark Equities</w:t>
            </w:r>
          </w:p>
        </w:tc>
        <w:tc>
          <w:tcPr>
            <w:tcW w:type="dxa" w:w="1560"/>
          </w:tcPr>
          <w:p>
            <w:r>
              <w:t>Baseline Zoo, DeepLOB, LiT, Ensembles</w:t>
            </w:r>
          </w:p>
        </w:tc>
        <w:tc>
          <w:tcPr>
            <w:tcW w:type="dxa" w:w="1560"/>
          </w:tcPr>
          <w:p>
            <w:r>
              <w:t>MDMT 5-Tier Stack &amp; Net Sharpe</w:t>
            </w:r>
          </w:p>
        </w:tc>
        <w:tc>
          <w:tcPr>
            <w:tcW w:type="dxa" w:w="1560"/>
          </w:tcPr>
          <w:p>
            <w:r>
              <w:t>Solves Gaps 1-6: Unified cost-aware execution, multi-tier metrics, and regime adaptation.</w:t>
            </w:r>
          </w:p>
        </w:tc>
      </w:tr>
    </w:tbl>
    <w:p/>
    <w:p>
      <w:pPr>
        <w:pStyle w:val="Heading1"/>
      </w:pPr>
      <w:r>
        <w:t>3. Formal Literature Gap Analysis: What We Do That Others Do Not</w:t>
      </w:r>
    </w:p>
    <w:p>
      <w:r>
        <w:t>A rigorous audit of the literature reveals six fundamental gaps that prevent research findings from translating into live trading performance. Our framework explicitly fills each gap:</w:t>
        <w:br/>
        <w:br/>
        <w:t>1. Gap 1: Zero-Cost and Instantaneous Execution Fallacy</w:t>
        <w:br/>
        <w:t>Prior Work: Literature universally assumes friction-free mid-price fills.</w:t>
        <w:br/>
        <w:t>Our Solution: We formalize RECIM (Realistic Execution Cost Integration Model). Every trade pays the exact instantaneous half-spread s_t / 2, the exchange taker fee schedule (4 bps), and non-linear market impact parameterized by Bucci et al. (2019).</w:t>
        <w:br/>
        <w:br/>
        <w:t>2. Gap 2: Under-Utilization of Order Flow Imbalance (OFI) Dynamics</w:t>
        <w:br/>
        <w:t>Prior Work: Deep learning models feed unnormalized 2D price-volume grids that drift over time.</w:t>
        <w:br/>
        <w:t>Our Solution: We introduce a 4-Tier Feature Engineering Taxonomy that integrates level-by-level Order Flow Imbalance (OFI) and Cumulative Imbalance Indices (CII). OFI directly measures net aggressive demand and eliminates non-stationarity.</w:t>
        <w:br/>
        <w:br/>
        <w:t>3. Gap 3: One-Dimensional Evaluation Metrics</w:t>
        <w:br/>
        <w:t>Prior Work: Research papers evaluate models strictly on classification accuracy or macro F1.</w:t>
        <w:br/>
        <w:t>Our Solution: We establish the Multi-Dimensional Metric Taxonomy (MDMT), a 5-tier evaluation stack spanning statistical metrics (Tier A), signal quality (Tier B), trade-level economics (Tier C), portfolio financial returns (Tier D), and regime-conditional resilience (Tier E).</w:t>
        <w:br/>
        <w:br/>
        <w:t>4. Gap 4: Market Regime Vulnerability</w:t>
        <w:br/>
        <w:t>Prior Work: Models are evaluated over static historical test sets, concealing drawdown during volatility spikes.</w:t>
        <w:br/>
        <w:t>Our Solution: We implement the Regime-Adaptive Evaluation Protocol (RAEP), segmenting market states into a 4-quadrant matrix (High/Low Volatility vs Trending/Mean-Reverting) and measuring the Performance Degradation Index (PDI).</w:t>
        <w:br/>
        <w:br/>
        <w:t>5. Gap 5: Lack of Multi-Dataset and Cross-Asset Generalization</w:t>
        <w:br/>
        <w:t>Prior Work: Studies benchmark solely on the decade-old FI-2010 equities dataset.</w:t>
        <w:br/>
        <w:t>Our Solution: We benchmark our framework across four diverse data sources: continuous high-frequency crypto spot books (Binance BTC/USDT and ETH/USDT), high-density 1-minute crypto order books with cancellation notional, and the FI-2010 European equity benchmark suite. We perform formal cross-asset domain transfer experiments.</w:t>
        <w:br/>
        <w:br/>
        <w:t>6. Gap 6: Code Reproducibility and File System Bloat</w:t>
        <w:br/>
        <w:t>Prior Work: Implementations rely on fragmented scripts, broken dependencies, and massive unversioned scratch outputs.</w:t>
        <w:br/>
        <w:t>Our Solution: We encapsulate the complete research lifecycle into a single self-contained, validated Jupyter notebook (LOB_HFT_Complete_Research_Notebook.ipynb) operating 100% in-memory without creating extraneous disk artifacts.</w:t>
      </w:r>
    </w:p>
    <w:p>
      <w:pPr>
        <w:pStyle w:val="Heading1"/>
      </w:pPr>
      <w:r>
        <w:t>4. Mathematical Formulation &amp; 4-Tier Feature Taxonomy</w:t>
      </w:r>
    </w:p>
    <w:p>
      <w:r>
        <w:t>At continuous timestamp t, the state of the Limit Order Book up to depth level K = 10 is defined as:</w:t>
        <w:br/>
        <w:t>L_t = { (P_{k,t}^b, V_{k,t}^b, P_{k,t}^a, V_{k,t}^a) }_{k=1}^{K}</w:t>
        <w:br/>
        <w:t>where P_{k,t}^b and V_{k,t}^b denote the price and volume at the k-th bid queue, and P_{k,t}^a and V_{k,t}^a denote the price and volume at the k-th ask queue. The best bid, best ask, mid-price m_t, and bid-ask spread s_t are:</w:t>
        <w:br/>
        <w:t>m_t = (P_{1,t}^a + P_{1,t}^b) / 2,    s_t = P_{1,t}^a - P_{1,t}^b &gt; 0</w:t>
      </w:r>
    </w:p>
    <w:p>
      <w:r>
        <w:t>Features are extracted across a 4-tier taxonomy totaling 53 features per event:</w:t>
        <w:br/>
        <w:t>- Tier 0 (Raw Order Book Grid, 40 features): 10 levels of bid prices, bid volumes, ask prices, ask volumes.</w:t>
        <w:br/>
        <w:t>- Tier 1 (Microstructure Scalars, 6 features): Volume Imbalance psi_t = (V_{1,t}^b - V_{1,t}^a) / (V_{1,t}^b + V_{1,t}^a), Microprice m_t^w = (V_{1,t}^b P_{1,t}^a + V_{1,t}^a P_{1,t}^b) / (V_{1,t}^b + V_{1,t}^a), Microprice-Mid divergence, Relative spread, and Total 10-level depth imbalance.</w:t>
        <w:br/>
        <w:t>- Tier 2 (Order Flow Imbalance, 3 features): Level-1 Order Flow Imbalance OFI_t = Delta W_{1,t}^b - Delta W_{1,t}^a and Cumulative Imbalance Index CII_t.</w:t>
        <w:br/>
        <w:t>- Tier 3 (Dynamics &amp; Volatility, 4 features): Multi-horizon returns rho_t^{(1)}, rho_t^{(5)}, rho_t^{(10)} and 20-event rolling realized volatility sigma_t^{(20)}.</w:t>
      </w:r>
    </w:p>
    <w:p>
      <w:r>
        <w:drawing>
          <wp:inline xmlns:a="http://schemas.openxmlformats.org/drawingml/2006/main" xmlns:pic="http://schemas.openxmlformats.org/drawingml/2006/picture">
            <wp:extent cx="5669280" cy="2175421"/>
            <wp:docPr id="2" name="Picture 2"/>
            <wp:cNvGraphicFramePr>
              <a:graphicFrameLocks noChangeAspect="1"/>
            </wp:cNvGraphicFramePr>
            <a:graphic>
              <a:graphicData uri="http://schemas.openxmlformats.org/drawingml/2006/picture">
                <pic:pic>
                  <pic:nvPicPr>
                    <pic:cNvPr id="0" name="figure_04_model_architectures.png"/>
                    <pic:cNvPicPr/>
                  </pic:nvPicPr>
                  <pic:blipFill>
                    <a:blip r:embed="rId10"/>
                    <a:stretch>
                      <a:fillRect/>
                    </a:stretch>
                  </pic:blipFill>
                  <pic:spPr>
                    <a:xfrm>
                      <a:off x="0" y="0"/>
                      <a:ext cx="5669280" cy="2175421"/>
                    </a:xfrm>
                    <a:prstGeom prst="rect"/>
                  </pic:spPr>
                </pic:pic>
              </a:graphicData>
            </a:graphic>
          </wp:inline>
        </w:drawing>
      </w:r>
    </w:p>
    <w:p>
      <w:pPr>
        <w:jc w:val="center"/>
      </w:pPr>
      <w:r>
        <w:rPr>
          <w:i/>
          <w:sz w:val="19"/>
        </w:rPr>
        <w:t>Figure 2: Architectural Schematics of Deep Learning Models: (a) DeepLOB Spatial Convolutional Network, (b) DeepLOB Spatiotemporal CNN + LSTM with temporal recurrence, and (c) LiT Limit Order Book Multi-Head Attention Transformer.</w:t>
      </w:r>
    </w:p>
    <w:p>
      <w:pPr>
        <w:pStyle w:val="Heading1"/>
      </w:pPr>
      <w:r>
        <w:t>5. Model Architecture Zoo</w:t>
      </w:r>
    </w:p>
    <w:p>
      <w:r>
        <w:t>We benchmark six diverse model architectures across classical machine learning and deep learning paradigms:</w:t>
        <w:br/>
        <w:t>1. Multinomial Logistic Regression: Serves as the linear benchmark with L2 regularization and balanced class weighting.</w:t>
        <w:br/>
        <w:t>2. Random Forest Classifier: Ensemble of 100 decorrelated decision trees (maximum depth d=6) to capture non-linear threshold dynamics.</w:t>
        <w:br/>
        <w:t>3. XGBoost / Gradient Boosted Decision Trees (GBDT): Optimized boosted tree ensemble (100 rounds, learning rate 0.05, max depth 4, column subsampling 0.80).</w:t>
        <w:br/>
        <w:t>4. DeepLOB Spatial CNN (Zhang et al., 2019): Treats LOB snapshots as 2D spatial maps (B x 1 x T x F). Convolutions with kernel (1, 2) compress bid/ask price-volume pairs, followed by temporal convolutions (4, 1) across time steps.</w:t>
        <w:br/>
        <w:t>5. DeepLOB Spatiotemporal CNN + LSTM: Couples spatial 2D convolutions with an LSTM layer (hidden dimension H=48) to capture temporal sequence history over T=20 events.</w:t>
        <w:br/>
        <w:t>6. LiT: Limit Order Book Transformer (Li et al., 2025): Projects input features into embedding dimension d_model = 48, applies sinusoidal positional encodings, and processes sequences through two Transformer encoder layers with multi-head self-attention.</w:t>
      </w:r>
    </w:p>
    <w:p>
      <w:pPr>
        <w:pStyle w:val="Heading1"/>
      </w:pPr>
      <w:r>
        <w:t>6. Execution Simulation: The RECIM Engine</w:t>
      </w:r>
    </w:p>
    <w:p>
      <w:r>
        <w:t>The Realistic Execution Cost Integration Model (RECIM) translates probability vectors p_t = [p_down, p_stat, p_up] into financial trade logs. Signals d_t in {-1, 0, +1} are generated via confidence thresholding: BUY if p_up &gt; 0.40 and p_up is maximum; SELL if p_down &gt; 0.40 and p_down is maximum; FLAT otherwise.</w:t>
      </w:r>
    </w:p>
    <w:p>
      <w:r>
        <w:t>Total Transaction Cost is decomposed as:</w:t>
        <w:br/>
        <w:t>TC(Q, t) = Half-Spread Cost + Exchange Fees + Market Impact</w:t>
        <w:br/>
        <w:t>TC(Q, t) = (s_t / 2) * Q + f_taker * P_t * Q + eta * sigma_t * sqrt(Q / V_daily) * P_t * Q</w:t>
        <w:br/>
        <w:t>where f_taker = 0.0004 (4 bps), eta = 0.142 (Bucci et al. market impact coefficient), and V_daily = 1,000,000 units.</w:t>
      </w:r>
    </w:p>
    <w:p>
      <w:pPr>
        <w:pStyle w:val="Heading1"/>
      </w:pPr>
      <w:r>
        <w:t>7. Experimental Setup and Input Parameters</w:t>
      </w:r>
    </w:p>
    <w:p>
      <w:r>
        <w:t>Table 2 outlines the complete experimental configuration applied across all datasets.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6ECF5"/>
          </w:tcPr>
          <w:p>
            <w:r>
              <w:rPr>
                <w:b/>
              </w:rPr>
              <w:t>Category</w:t>
            </w:r>
          </w:p>
        </w:tc>
        <w:tc>
          <w:tcPr>
            <w:tcW w:type="dxa" w:w="1872"/>
            <w:shd w:fill="E6ECF5"/>
          </w:tcPr>
          <w:p>
            <w:r>
              <w:rPr>
                <w:b/>
              </w:rPr>
              <w:t>Parameter Name</w:t>
            </w:r>
          </w:p>
        </w:tc>
        <w:tc>
          <w:tcPr>
            <w:tcW w:type="dxa" w:w="1872"/>
            <w:shd w:fill="E6ECF5"/>
          </w:tcPr>
          <w:p>
            <w:r>
              <w:rPr>
                <w:b/>
              </w:rPr>
              <w:t>Symbol</w:t>
            </w:r>
          </w:p>
        </w:tc>
        <w:tc>
          <w:tcPr>
            <w:tcW w:type="dxa" w:w="1872"/>
            <w:shd w:fill="E6ECF5"/>
          </w:tcPr>
          <w:p>
            <w:r>
              <w:rPr>
                <w:b/>
              </w:rPr>
              <w:t>Value / Setting</w:t>
            </w:r>
          </w:p>
        </w:tc>
        <w:tc>
          <w:tcPr>
            <w:tcW w:type="dxa" w:w="1872"/>
            <w:shd w:fill="E6ECF5"/>
          </w:tcPr>
          <w:p>
            <w:r>
              <w:rPr>
                <w:b/>
              </w:rPr>
              <w:t>Scientific Rationale</w:t>
            </w:r>
          </w:p>
        </w:tc>
      </w:tr>
      <w:tr>
        <w:tc>
          <w:tcPr>
            <w:tcW w:type="dxa" w:w="1872"/>
          </w:tcPr>
          <w:p>
            <w:r>
              <w:t>Data Partitioning</w:t>
            </w:r>
          </w:p>
        </w:tc>
        <w:tc>
          <w:tcPr>
            <w:tcW w:type="dxa" w:w="1872"/>
          </w:tcPr>
          <w:p>
            <w:r>
              <w:t>Chronological Split</w:t>
            </w:r>
          </w:p>
        </w:tc>
        <w:tc>
          <w:tcPr>
            <w:tcW w:type="dxa" w:w="1872"/>
          </w:tcPr>
          <w:p>
            <w:r>
              <w:t>Ratio</w:t>
            </w:r>
          </w:p>
        </w:tc>
        <w:tc>
          <w:tcPr>
            <w:tcW w:type="dxa" w:w="1872"/>
          </w:tcPr>
          <w:p>
            <w:r>
              <w:t>70% / 15% / 15%</w:t>
            </w:r>
          </w:p>
        </w:tc>
        <w:tc>
          <w:tcPr>
            <w:tcW w:type="dxa" w:w="1872"/>
          </w:tcPr>
          <w:p>
            <w:r>
              <w:t>Strict chronological partition; zero look-ahead leakage.</w:t>
            </w:r>
          </w:p>
        </w:tc>
      </w:tr>
      <w:tr>
        <w:tc>
          <w:tcPr>
            <w:tcW w:type="dxa" w:w="1872"/>
          </w:tcPr>
          <w:p>
            <w:r>
              <w:t>LOB Depth</w:t>
            </w:r>
          </w:p>
        </w:tc>
        <w:tc>
          <w:tcPr>
            <w:tcW w:type="dxa" w:w="1872"/>
          </w:tcPr>
          <w:p>
            <w:r>
              <w:t>Order Book Depth Levels</w:t>
            </w:r>
          </w:p>
        </w:tc>
        <w:tc>
          <w:tcPr>
            <w:tcW w:type="dxa" w:w="1872"/>
          </w:tcPr>
          <w:p>
            <w:r>
              <w:t>K</w:t>
            </w:r>
          </w:p>
        </w:tc>
        <w:tc>
          <w:tcPr>
            <w:tcW w:type="dxa" w:w="1872"/>
          </w:tcPr>
          <w:p>
            <w:r>
              <w:t>10 levels</w:t>
            </w:r>
          </w:p>
        </w:tc>
        <w:tc>
          <w:tcPr>
            <w:tcW w:type="dxa" w:w="1872"/>
          </w:tcPr>
          <w:p>
            <w:r>
              <w:t>Captures institutional order queues beyond top-of-book.</w:t>
            </w:r>
          </w:p>
        </w:tc>
      </w:tr>
      <w:tr>
        <w:tc>
          <w:tcPr>
            <w:tcW w:type="dxa" w:w="1872"/>
          </w:tcPr>
          <w:p>
            <w:r>
              <w:t>Sequence Tensor</w:t>
            </w:r>
          </w:p>
        </w:tc>
        <w:tc>
          <w:tcPr>
            <w:tcW w:type="dxa" w:w="1872"/>
          </w:tcPr>
          <w:p>
            <w:r>
              <w:t>Sequence Lookback Horizon</w:t>
            </w:r>
          </w:p>
        </w:tc>
        <w:tc>
          <w:tcPr>
            <w:tcW w:type="dxa" w:w="1872"/>
          </w:tcPr>
          <w:p>
            <w:r>
              <w:t>T</w:t>
            </w:r>
          </w:p>
        </w:tc>
        <w:tc>
          <w:tcPr>
            <w:tcW w:type="dxa" w:w="1872"/>
          </w:tcPr>
          <w:p>
            <w:r>
              <w:t>20 events</w:t>
            </w:r>
          </w:p>
        </w:tc>
        <w:tc>
          <w:tcPr>
            <w:tcW w:type="dxa" w:w="1872"/>
          </w:tcPr>
          <w:p>
            <w:r>
              <w:t>Captures short-term order flow momentum for CNN/LSTM/LiT.</w:t>
            </w:r>
          </w:p>
        </w:tc>
      </w:tr>
      <w:tr>
        <w:tc>
          <w:tcPr>
            <w:tcW w:type="dxa" w:w="1872"/>
          </w:tcPr>
          <w:p>
            <w:r>
              <w:t>Prediction Target</w:t>
            </w:r>
          </w:p>
        </w:tc>
        <w:tc>
          <w:tcPr>
            <w:tcW w:type="dxa" w:w="1872"/>
          </w:tcPr>
          <w:p>
            <w:r>
              <w:t>Forward Forecast Horizon</w:t>
            </w:r>
          </w:p>
        </w:tc>
        <w:tc>
          <w:tcPr>
            <w:tcW w:type="dxa" w:w="1872"/>
          </w:tcPr>
          <w:p>
            <w:r>
              <w:t>k</w:t>
            </w:r>
          </w:p>
        </w:tc>
        <w:tc>
          <w:tcPr>
            <w:tcW w:type="dxa" w:w="1872"/>
          </w:tcPr>
          <w:p>
            <w:r>
              <w:t>10 events</w:t>
            </w:r>
          </w:p>
        </w:tc>
        <w:tc>
          <w:tcPr>
            <w:tcW w:type="dxa" w:w="1872"/>
          </w:tcPr>
          <w:p>
            <w:r>
              <w:t>Standard HFT prediction horizon (~10 ticks forward).</w:t>
            </w:r>
          </w:p>
        </w:tc>
      </w:tr>
      <w:tr>
        <w:tc>
          <w:tcPr>
            <w:tcW w:type="dxa" w:w="1872"/>
          </w:tcPr>
          <w:p>
            <w:r>
              <w:t>Target Smoothing</w:t>
            </w:r>
          </w:p>
        </w:tc>
        <w:tc>
          <w:tcPr>
            <w:tcW w:type="dxa" w:w="1872"/>
          </w:tcPr>
          <w:p>
            <w:r>
              <w:t>Smoothing Window</w:t>
            </w:r>
          </w:p>
        </w:tc>
        <w:tc>
          <w:tcPr>
            <w:tcW w:type="dxa" w:w="1872"/>
          </w:tcPr>
          <w:p>
            <w:r>
              <w:t>w</w:t>
            </w:r>
          </w:p>
        </w:tc>
        <w:tc>
          <w:tcPr>
            <w:tcW w:type="dxa" w:w="1872"/>
          </w:tcPr>
          <w:p>
            <w:r>
              <w:t>5 events</w:t>
            </w:r>
          </w:p>
        </w:tc>
        <w:tc>
          <w:tcPr>
            <w:tcW w:type="dxa" w:w="1872"/>
          </w:tcPr>
          <w:p>
            <w:r>
              <w:t>Mitigates microstructure bid-ask bounce.</w:t>
            </w:r>
          </w:p>
        </w:tc>
      </w:tr>
      <w:tr>
        <w:tc>
          <w:tcPr>
            <w:tcW w:type="dxa" w:w="1872"/>
          </w:tcPr>
          <w:p>
            <w:r>
              <w:t>Class Calibration</w:t>
            </w:r>
          </w:p>
        </w:tc>
        <w:tc>
          <w:tcPr>
            <w:tcW w:type="dxa" w:w="1872"/>
          </w:tcPr>
          <w:p>
            <w:r>
              <w:t>Stationary Class Target</w:t>
            </w:r>
          </w:p>
        </w:tc>
        <w:tc>
          <w:tcPr>
            <w:tcW w:type="dxa" w:w="1872"/>
          </w:tcPr>
          <w:p>
            <w:r>
              <w:t>-</w:t>
            </w:r>
          </w:p>
        </w:tc>
        <w:tc>
          <w:tcPr>
            <w:tcW w:type="dxa" w:w="1872"/>
          </w:tcPr>
          <w:p>
            <w:r>
              <w:t>35.0%</w:t>
            </w:r>
          </w:p>
        </w:tc>
        <w:tc>
          <w:tcPr>
            <w:tcW w:type="dxa" w:w="1872"/>
          </w:tcPr>
          <w:p>
            <w:r>
              <w:t>Establishes balanced ternary class distributions.</w:t>
            </w:r>
          </w:p>
        </w:tc>
      </w:tr>
      <w:tr>
        <w:tc>
          <w:tcPr>
            <w:tcW w:type="dxa" w:w="1872"/>
          </w:tcPr>
          <w:p>
            <w:r>
              <w:t>Signal Filter</w:t>
            </w:r>
          </w:p>
        </w:tc>
        <w:tc>
          <w:tcPr>
            <w:tcW w:type="dxa" w:w="1872"/>
          </w:tcPr>
          <w:p>
            <w:r>
              <w:t>Confidence Hurdle</w:t>
            </w:r>
          </w:p>
        </w:tc>
        <w:tc>
          <w:tcPr>
            <w:tcW w:type="dxa" w:w="1872"/>
          </w:tcPr>
          <w:p>
            <w:r>
              <w:t>theta</w:t>
            </w:r>
          </w:p>
        </w:tc>
        <w:tc>
          <w:tcPr>
            <w:tcW w:type="dxa" w:w="1872"/>
          </w:tcPr>
          <w:p>
            <w:r>
              <w:t>0.40</w:t>
            </w:r>
          </w:p>
        </w:tc>
        <w:tc>
          <w:tcPr>
            <w:tcW w:type="dxa" w:w="1872"/>
          </w:tcPr>
          <w:p>
            <w:r>
              <w:t>Requires &gt;40% probability and majority consensus to trade.</w:t>
            </w:r>
          </w:p>
        </w:tc>
      </w:tr>
      <w:tr>
        <w:tc>
          <w:tcPr>
            <w:tcW w:type="dxa" w:w="1872"/>
          </w:tcPr>
          <w:p>
            <w:r>
              <w:t>Exchange Friction</w:t>
            </w:r>
          </w:p>
        </w:tc>
        <w:tc>
          <w:tcPr>
            <w:tcW w:type="dxa" w:w="1872"/>
          </w:tcPr>
          <w:p>
            <w:r>
              <w:t>Taker Transaction Fee</w:t>
            </w:r>
          </w:p>
        </w:tc>
        <w:tc>
          <w:tcPr>
            <w:tcW w:type="dxa" w:w="1872"/>
          </w:tcPr>
          <w:p>
            <w:r>
              <w:t>f_taker</w:t>
            </w:r>
          </w:p>
        </w:tc>
        <w:tc>
          <w:tcPr>
            <w:tcW w:type="dxa" w:w="1872"/>
          </w:tcPr>
          <w:p>
            <w:r>
              <w:t>4 bps (0.0004)</w:t>
            </w:r>
          </w:p>
        </w:tc>
        <w:tc>
          <w:tcPr>
            <w:tcW w:type="dxa" w:w="1872"/>
          </w:tcPr>
          <w:p>
            <w:r>
              <w:t>Typical Binance/Coinbase tier-1 taker fee rate.</w:t>
            </w:r>
          </w:p>
        </w:tc>
      </w:tr>
      <w:tr>
        <w:tc>
          <w:tcPr>
            <w:tcW w:type="dxa" w:w="1872"/>
          </w:tcPr>
          <w:p>
            <w:r>
              <w:t>Exchange Friction</w:t>
            </w:r>
          </w:p>
        </w:tc>
        <w:tc>
          <w:tcPr>
            <w:tcW w:type="dxa" w:w="1872"/>
          </w:tcPr>
          <w:p>
            <w:r>
              <w:t>Maker Fee / Rebate</w:t>
            </w:r>
          </w:p>
        </w:tc>
        <w:tc>
          <w:tcPr>
            <w:tcW w:type="dxa" w:w="1872"/>
          </w:tcPr>
          <w:p>
            <w:r>
              <w:t>f_maker</w:t>
            </w:r>
          </w:p>
        </w:tc>
        <w:tc>
          <w:tcPr>
            <w:tcW w:type="dxa" w:w="1872"/>
          </w:tcPr>
          <w:p>
            <w:r>
              <w:t>-1 bps (-0.0001)</w:t>
            </w:r>
          </w:p>
        </w:tc>
        <w:tc>
          <w:tcPr>
            <w:tcW w:type="dxa" w:w="1872"/>
          </w:tcPr>
          <w:p>
            <w:r>
              <w:t>Standard liquidity provider rebate rate.</w:t>
            </w:r>
          </w:p>
        </w:tc>
      </w:tr>
      <w:tr>
        <w:tc>
          <w:tcPr>
            <w:tcW w:type="dxa" w:w="1872"/>
          </w:tcPr>
          <w:p>
            <w:r>
              <w:t>Market Impact</w:t>
            </w:r>
          </w:p>
        </w:tc>
        <w:tc>
          <w:tcPr>
            <w:tcW w:type="dxa" w:w="1872"/>
          </w:tcPr>
          <w:p>
            <w:r>
              <w:t>Impact Coefficient</w:t>
            </w:r>
          </w:p>
        </w:tc>
        <w:tc>
          <w:tcPr>
            <w:tcW w:type="dxa" w:w="1872"/>
          </w:tcPr>
          <w:p>
            <w:r>
              <w:t>eta</w:t>
            </w:r>
          </w:p>
        </w:tc>
        <w:tc>
          <w:tcPr>
            <w:tcW w:type="dxa" w:w="1872"/>
          </w:tcPr>
          <w:p>
            <w:r>
              <w:t>0.142</w:t>
            </w:r>
          </w:p>
        </w:tc>
        <w:tc>
          <w:tcPr>
            <w:tcW w:type="dxa" w:w="1872"/>
          </w:tcPr>
          <w:p>
            <w:r>
              <w:t>Empirically calibrated Bucci et al. (2019) square-root constant.</w:t>
            </w:r>
          </w:p>
        </w:tc>
      </w:tr>
      <w:tr>
        <w:tc>
          <w:tcPr>
            <w:tcW w:type="dxa" w:w="1872"/>
          </w:tcPr>
          <w:p>
            <w:r>
              <w:t>Order Sizing</w:t>
            </w:r>
          </w:p>
        </w:tc>
        <w:tc>
          <w:tcPr>
            <w:tcW w:type="dxa" w:w="1872"/>
          </w:tcPr>
          <w:p>
            <w:r>
              <w:t>Standard Execution Lot</w:t>
            </w:r>
          </w:p>
        </w:tc>
        <w:tc>
          <w:tcPr>
            <w:tcW w:type="dxa" w:w="1872"/>
          </w:tcPr>
          <w:p>
            <w:r>
              <w:t>Q</w:t>
            </w:r>
          </w:p>
        </w:tc>
        <w:tc>
          <w:tcPr>
            <w:tcW w:type="dxa" w:w="1872"/>
          </w:tcPr>
          <w:p>
            <w:r>
              <w:t>1.0 unit</w:t>
            </w:r>
          </w:p>
        </w:tc>
        <w:tc>
          <w:tcPr>
            <w:tcW w:type="dxa" w:w="1872"/>
          </w:tcPr>
          <w:p>
            <w:r>
              <w:t>Normalized single-contract execution.</w:t>
            </w:r>
          </w:p>
        </w:tc>
      </w:tr>
      <w:tr>
        <w:tc>
          <w:tcPr>
            <w:tcW w:type="dxa" w:w="1872"/>
          </w:tcPr>
          <w:p>
            <w:r>
              <w:t>Deep Learning</w:t>
            </w:r>
          </w:p>
        </w:tc>
        <w:tc>
          <w:tcPr>
            <w:tcW w:type="dxa" w:w="1872"/>
          </w:tcPr>
          <w:p>
            <w:r>
              <w:t>Optimizer &amp; Loss</w:t>
            </w:r>
          </w:p>
        </w:tc>
        <w:tc>
          <w:tcPr>
            <w:tcW w:type="dxa" w:w="1872"/>
          </w:tcPr>
          <w:p>
            <w:r>
              <w:t>-</w:t>
            </w:r>
          </w:p>
        </w:tc>
        <w:tc>
          <w:tcPr>
            <w:tcW w:type="dxa" w:w="1872"/>
          </w:tcPr>
          <w:p>
            <w:r>
              <w:t>AdamW, CE Loss</w:t>
            </w:r>
          </w:p>
        </w:tc>
        <w:tc>
          <w:tcPr>
            <w:tcW w:type="dxa" w:w="1872"/>
          </w:tcPr>
          <w:p>
            <w:r>
              <w:t>Weight decay 1e-4, initial learning rate 1e-3.</w:t>
            </w:r>
          </w:p>
        </w:tc>
      </w:tr>
      <w:tr>
        <w:tc>
          <w:tcPr>
            <w:tcW w:type="dxa" w:w="1872"/>
          </w:tcPr>
          <w:p>
            <w:r>
              <w:t>Reproducibility</w:t>
            </w:r>
          </w:p>
        </w:tc>
        <w:tc>
          <w:tcPr>
            <w:tcW w:type="dxa" w:w="1872"/>
          </w:tcPr>
          <w:p>
            <w:r>
              <w:t>Global Random Seed</w:t>
            </w:r>
          </w:p>
        </w:tc>
        <w:tc>
          <w:tcPr>
            <w:tcW w:type="dxa" w:w="1872"/>
          </w:tcPr>
          <w:p>
            <w:r>
              <w:t>-</w:t>
            </w:r>
          </w:p>
        </w:tc>
        <w:tc>
          <w:tcPr>
            <w:tcW w:type="dxa" w:w="1872"/>
          </w:tcPr>
          <w:p>
            <w:r>
              <w:t>42</w:t>
            </w:r>
          </w:p>
        </w:tc>
        <w:tc>
          <w:tcPr>
            <w:tcW w:type="dxa" w:w="1872"/>
          </w:tcPr>
          <w:p>
            <w:r>
              <w:t>Fixed across NumPy, PyTorch, Scikit-Learn, and XGBoost.</w:t>
            </w:r>
          </w:p>
        </w:tc>
      </w:tr>
    </w:tbl>
    <w:p>
      <w:r>
        <w:drawing>
          <wp:inline xmlns:a="http://schemas.openxmlformats.org/drawingml/2006/main" xmlns:pic="http://schemas.openxmlformats.org/drawingml/2006/picture">
            <wp:extent cx="5669280" cy="4530072"/>
            <wp:docPr id="3" name="Picture 3"/>
            <wp:cNvGraphicFramePr>
              <a:graphicFrameLocks noChangeAspect="1"/>
            </wp:cNvGraphicFramePr>
            <a:graphic>
              <a:graphicData uri="http://schemas.openxmlformats.org/drawingml/2006/picture">
                <pic:pic>
                  <pic:nvPicPr>
                    <pic:cNvPr id="0" name="figure_05_dataset_distribution.png"/>
                    <pic:cNvPicPr/>
                  </pic:nvPicPr>
                  <pic:blipFill>
                    <a:blip r:embed="rId11"/>
                    <a:stretch>
                      <a:fillRect/>
                    </a:stretch>
                  </pic:blipFill>
                  <pic:spPr>
                    <a:xfrm>
                      <a:off x="0" y="0"/>
                      <a:ext cx="5669280" cy="4530072"/>
                    </a:xfrm>
                    <a:prstGeom prst="rect"/>
                  </pic:spPr>
                </pic:pic>
              </a:graphicData>
            </a:graphic>
          </wp:inline>
        </w:drawing>
      </w:r>
    </w:p>
    <w:p>
      <w:pPr>
        <w:jc w:val="center"/>
      </w:pPr>
      <w:r>
        <w:rPr>
          <w:i/>
          <w:sz w:val="19"/>
        </w:rPr>
        <w:t>Figure 3: Empirical Dataset Characteristics: Normalized mid-price trajectories, instantaneous bid-ask spread distributions, volume queue depth profiles, and calibrated ternary class balances across evaluated markets.</w:t>
      </w:r>
    </w:p>
    <w:p>
      <w:pPr>
        <w:pStyle w:val="Heading1"/>
      </w:pPr>
      <w:r>
        <w:t>8. Empirical Results and Performance Evaluation</w:t>
      </w:r>
    </w:p>
    <w:p>
      <w:r>
        <w:t>All models were evaluated under identical conditions. Table 3 compiles the master empirical results across all datasets and architectures using the MDMT metric taxonomy.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6ECF5"/>
          </w:tcPr>
          <w:p>
            <w:r>
              <w:rPr>
                <w:b/>
              </w:rPr>
              <w:t>Dataset</w:t>
            </w:r>
          </w:p>
        </w:tc>
        <w:tc>
          <w:tcPr>
            <w:tcW w:type="dxa" w:w="1337"/>
            <w:shd w:fill="E6ECF5"/>
          </w:tcPr>
          <w:p>
            <w:r>
              <w:rPr>
                <w:b/>
              </w:rPr>
              <w:t>Model Architecture</w:t>
            </w:r>
          </w:p>
        </w:tc>
        <w:tc>
          <w:tcPr>
            <w:tcW w:type="dxa" w:w="1337"/>
            <w:shd w:fill="E6ECF5"/>
          </w:tcPr>
          <w:p>
            <w:r>
              <w:rPr>
                <w:b/>
              </w:rPr>
              <w:t>Accuracy</w:t>
            </w:r>
          </w:p>
        </w:tc>
        <w:tc>
          <w:tcPr>
            <w:tcW w:type="dxa" w:w="1337"/>
            <w:shd w:fill="E6ECF5"/>
          </w:tcPr>
          <w:p>
            <w:r>
              <w:rPr>
                <w:b/>
              </w:rPr>
              <w:t>Macro F1</w:t>
            </w:r>
          </w:p>
        </w:tc>
        <w:tc>
          <w:tcPr>
            <w:tcW w:type="dxa" w:w="1337"/>
            <w:shd w:fill="E6ECF5"/>
          </w:tcPr>
          <w:p>
            <w:r>
              <w:rPr>
                <w:b/>
              </w:rPr>
              <w:t>Trades</w:t>
            </w:r>
          </w:p>
        </w:tc>
        <w:tc>
          <w:tcPr>
            <w:tcW w:type="dxa" w:w="1337"/>
            <w:shd w:fill="E6ECF5"/>
          </w:tcPr>
          <w:p>
            <w:r>
              <w:rPr>
                <w:b/>
              </w:rPr>
              <w:t>Win Rate</w:t>
            </w:r>
          </w:p>
        </w:tc>
        <w:tc>
          <w:tcPr>
            <w:tcW w:type="dxa" w:w="1337"/>
            <w:shd w:fill="E6ECF5"/>
          </w:tcPr>
          <w:p>
            <w:r>
              <w:rPr>
                <w:b/>
              </w:rPr>
              <w:t>Net PnL (USDT)</w:t>
            </w:r>
          </w:p>
        </w:tc>
      </w:tr>
      <w:tr>
        <w:tc>
          <w:tcPr>
            <w:tcW w:type="dxa" w:w="1337"/>
          </w:tcPr>
          <w:p>
            <w:r>
              <w:t>BTC High-Density (1-min)</w:t>
            </w:r>
          </w:p>
        </w:tc>
        <w:tc>
          <w:tcPr>
            <w:tcW w:type="dxa" w:w="1337"/>
          </w:tcPr>
          <w:p>
            <w:r>
              <w:t>DeepLOB Spatial CNN</w:t>
            </w:r>
          </w:p>
        </w:tc>
        <w:tc>
          <w:tcPr>
            <w:tcW w:type="dxa" w:w="1337"/>
          </w:tcPr>
          <w:p>
            <w:r>
              <w:t>0.6154</w:t>
            </w:r>
          </w:p>
        </w:tc>
        <w:tc>
          <w:tcPr>
            <w:tcW w:type="dxa" w:w="1337"/>
          </w:tcPr>
          <w:p>
            <w:r>
              <w:t>0.4526</w:t>
            </w:r>
          </w:p>
        </w:tc>
        <w:tc>
          <w:tcPr>
            <w:tcW w:type="dxa" w:w="1337"/>
          </w:tcPr>
          <w:p>
            <w:r>
              <w:t>45</w:t>
            </w:r>
          </w:p>
        </w:tc>
        <w:tc>
          <w:tcPr>
            <w:tcW w:type="dxa" w:w="1337"/>
          </w:tcPr>
          <w:p>
            <w:r>
              <w:t>53.33%</w:t>
            </w:r>
          </w:p>
        </w:tc>
        <w:tc>
          <w:tcPr>
            <w:tcW w:type="dxa" w:w="1337"/>
          </w:tcPr>
          <w:p>
            <w:r>
              <w:t>+464.31</w:t>
            </w:r>
          </w:p>
        </w:tc>
      </w:tr>
      <w:tr>
        <w:tc>
          <w:tcPr>
            <w:tcW w:type="dxa" w:w="1337"/>
          </w:tcPr>
          <w:p>
            <w:r>
              <w:t>BTC High-Density (1-min)</w:t>
            </w:r>
          </w:p>
        </w:tc>
        <w:tc>
          <w:tcPr>
            <w:tcW w:type="dxa" w:w="1337"/>
          </w:tcPr>
          <w:p>
            <w:r>
              <w:t>XGBoost GBDT</w:t>
            </w:r>
          </w:p>
        </w:tc>
        <w:tc>
          <w:tcPr>
            <w:tcW w:type="dxa" w:w="1337"/>
          </w:tcPr>
          <w:p>
            <w:r>
              <w:t>0.5641</w:t>
            </w:r>
          </w:p>
        </w:tc>
        <w:tc>
          <w:tcPr>
            <w:tcW w:type="dxa" w:w="1337"/>
          </w:tcPr>
          <w:p>
            <w:r>
              <w:t>0.4315</w:t>
            </w:r>
          </w:p>
        </w:tc>
        <w:tc>
          <w:tcPr>
            <w:tcW w:type="dxa" w:w="1337"/>
          </w:tcPr>
          <w:p>
            <w:r>
              <w:t>41</w:t>
            </w:r>
          </w:p>
        </w:tc>
        <w:tc>
          <w:tcPr>
            <w:tcW w:type="dxa" w:w="1337"/>
          </w:tcPr>
          <w:p>
            <w:r>
              <w:t>48.78%</w:t>
            </w:r>
          </w:p>
        </w:tc>
        <w:tc>
          <w:tcPr>
            <w:tcW w:type="dxa" w:w="1337"/>
          </w:tcPr>
          <w:p>
            <w:r>
              <w:t>+245.12</w:t>
            </w:r>
          </w:p>
        </w:tc>
      </w:tr>
      <w:tr>
        <w:tc>
          <w:tcPr>
            <w:tcW w:type="dxa" w:w="1337"/>
          </w:tcPr>
          <w:p>
            <w:r>
              <w:t>BTC High-Density (1-min)</w:t>
            </w:r>
          </w:p>
        </w:tc>
        <w:tc>
          <w:tcPr>
            <w:tcW w:type="dxa" w:w="1337"/>
          </w:tcPr>
          <w:p>
            <w:r>
              <w:t>Random Forest</w:t>
            </w:r>
          </w:p>
        </w:tc>
        <w:tc>
          <w:tcPr>
            <w:tcW w:type="dxa" w:w="1337"/>
          </w:tcPr>
          <w:p>
            <w:r>
              <w:t>0.5385</w:t>
            </w:r>
          </w:p>
        </w:tc>
        <w:tc>
          <w:tcPr>
            <w:tcW w:type="dxa" w:w="1337"/>
          </w:tcPr>
          <w:p>
            <w:r>
              <w:t>0.4120</w:t>
            </w:r>
          </w:p>
        </w:tc>
        <w:tc>
          <w:tcPr>
            <w:tcW w:type="dxa" w:w="1337"/>
          </w:tcPr>
          <w:p>
            <w:r>
              <w:t>38</w:t>
            </w:r>
          </w:p>
        </w:tc>
        <w:tc>
          <w:tcPr>
            <w:tcW w:type="dxa" w:w="1337"/>
          </w:tcPr>
          <w:p>
            <w:r>
              <w:t>47.37%</w:t>
            </w:r>
          </w:p>
        </w:tc>
        <w:tc>
          <w:tcPr>
            <w:tcW w:type="dxa" w:w="1337"/>
          </w:tcPr>
          <w:p>
            <w:r>
              <w:t>+182.40</w:t>
            </w:r>
          </w:p>
        </w:tc>
      </w:tr>
      <w:tr>
        <w:tc>
          <w:tcPr>
            <w:tcW w:type="dxa" w:w="1337"/>
          </w:tcPr>
          <w:p>
            <w:r>
              <w:t>BTC/USDT (Binance Snapshot)</w:t>
            </w:r>
          </w:p>
        </w:tc>
        <w:tc>
          <w:tcPr>
            <w:tcW w:type="dxa" w:w="1337"/>
          </w:tcPr>
          <w:p>
            <w:r>
              <w:t>XGBoost GBDT</w:t>
            </w:r>
          </w:p>
        </w:tc>
        <w:tc>
          <w:tcPr>
            <w:tcW w:type="dxa" w:w="1337"/>
          </w:tcPr>
          <w:p>
            <w:r>
              <w:t>0.4083</w:t>
            </w:r>
          </w:p>
        </w:tc>
        <w:tc>
          <w:tcPr>
            <w:tcW w:type="dxa" w:w="1337"/>
          </w:tcPr>
          <w:p>
            <w:r>
              <w:t>0.3945</w:t>
            </w:r>
          </w:p>
        </w:tc>
        <w:tc>
          <w:tcPr>
            <w:tcW w:type="dxa" w:w="1337"/>
          </w:tcPr>
          <w:p>
            <w:r>
              <w:t>38</w:t>
            </w:r>
          </w:p>
        </w:tc>
        <w:tc>
          <w:tcPr>
            <w:tcW w:type="dxa" w:w="1337"/>
          </w:tcPr>
          <w:p>
            <w:r>
              <w:t>0.00%</w:t>
            </w:r>
          </w:p>
        </w:tc>
        <w:tc>
          <w:tcPr>
            <w:tcW w:type="dxa" w:w="1337"/>
          </w:tcPr>
          <w:p>
            <w:r>
              <w:t>-1176.07</w:t>
            </w:r>
          </w:p>
        </w:tc>
      </w:tr>
      <w:tr>
        <w:tc>
          <w:tcPr>
            <w:tcW w:type="dxa" w:w="1337"/>
          </w:tcPr>
          <w:p>
            <w:r>
              <w:t>BTC/USDT (Binance Snapshot)</w:t>
            </w:r>
          </w:p>
        </w:tc>
        <w:tc>
          <w:tcPr>
            <w:tcW w:type="dxa" w:w="1337"/>
          </w:tcPr>
          <w:p>
            <w:r>
              <w:t>Random Forest</w:t>
            </w:r>
          </w:p>
        </w:tc>
        <w:tc>
          <w:tcPr>
            <w:tcW w:type="dxa" w:w="1337"/>
          </w:tcPr>
          <w:p>
            <w:r>
              <w:t>0.3750</w:t>
            </w:r>
          </w:p>
        </w:tc>
        <w:tc>
          <w:tcPr>
            <w:tcW w:type="dxa" w:w="1337"/>
          </w:tcPr>
          <w:p>
            <w:r>
              <w:t>0.3620</w:t>
            </w:r>
          </w:p>
        </w:tc>
        <w:tc>
          <w:tcPr>
            <w:tcW w:type="dxa" w:w="1337"/>
          </w:tcPr>
          <w:p>
            <w:r>
              <w:t>34</w:t>
            </w:r>
          </w:p>
        </w:tc>
        <w:tc>
          <w:tcPr>
            <w:tcW w:type="dxa" w:w="1337"/>
          </w:tcPr>
          <w:p>
            <w:r>
              <w:t>0.00%</w:t>
            </w:r>
          </w:p>
        </w:tc>
        <w:tc>
          <w:tcPr>
            <w:tcW w:type="dxa" w:w="1337"/>
          </w:tcPr>
          <w:p>
            <w:r>
              <w:t>-1054.20</w:t>
            </w:r>
          </w:p>
        </w:tc>
      </w:tr>
      <w:tr>
        <w:tc>
          <w:tcPr>
            <w:tcW w:type="dxa" w:w="1337"/>
          </w:tcPr>
          <w:p>
            <w:r>
              <w:t>BTC/USDT (Binance Snapshot)</w:t>
            </w:r>
          </w:p>
        </w:tc>
        <w:tc>
          <w:tcPr>
            <w:tcW w:type="dxa" w:w="1337"/>
          </w:tcPr>
          <w:p>
            <w:r>
              <w:t>DeepLOB Spatial CNN</w:t>
            </w:r>
          </w:p>
        </w:tc>
        <w:tc>
          <w:tcPr>
            <w:tcW w:type="dxa" w:w="1337"/>
          </w:tcPr>
          <w:p>
            <w:r>
              <w:t>0.3846</w:t>
            </w:r>
          </w:p>
        </w:tc>
        <w:tc>
          <w:tcPr>
            <w:tcW w:type="dxa" w:w="1337"/>
          </w:tcPr>
          <w:p>
            <w:r>
              <w:t>0.3710</w:t>
            </w:r>
          </w:p>
        </w:tc>
        <w:tc>
          <w:tcPr>
            <w:tcW w:type="dxa" w:w="1337"/>
          </w:tcPr>
          <w:p>
            <w:r>
              <w:t>40</w:t>
            </w:r>
          </w:p>
        </w:tc>
        <w:tc>
          <w:tcPr>
            <w:tcW w:type="dxa" w:w="1337"/>
          </w:tcPr>
          <w:p>
            <w:r>
              <w:t>0.00%</w:t>
            </w:r>
          </w:p>
        </w:tc>
        <w:tc>
          <w:tcPr>
            <w:tcW w:type="dxa" w:w="1337"/>
          </w:tcPr>
          <w:p>
            <w:r>
              <w:t>-1240.15</w:t>
            </w:r>
          </w:p>
        </w:tc>
      </w:tr>
      <w:tr>
        <w:tc>
          <w:tcPr>
            <w:tcW w:type="dxa" w:w="1337"/>
          </w:tcPr>
          <w:p>
            <w:r>
              <w:t>ETH/USDT (Binance Snapshot)</w:t>
            </w:r>
          </w:p>
        </w:tc>
        <w:tc>
          <w:tcPr>
            <w:tcW w:type="dxa" w:w="1337"/>
          </w:tcPr>
          <w:p>
            <w:r>
              <w:t>DeepLOB Spatial CNN</w:t>
            </w:r>
          </w:p>
        </w:tc>
        <w:tc>
          <w:tcPr>
            <w:tcW w:type="dxa" w:w="1337"/>
          </w:tcPr>
          <w:p>
            <w:r>
              <w:t>0.5000</w:t>
            </w:r>
          </w:p>
        </w:tc>
        <w:tc>
          <w:tcPr>
            <w:tcW w:type="dxa" w:w="1337"/>
          </w:tcPr>
          <w:p>
            <w:r>
              <w:t>0.4899</w:t>
            </w:r>
          </w:p>
        </w:tc>
        <w:tc>
          <w:tcPr>
            <w:tcW w:type="dxa" w:w="1337"/>
          </w:tcPr>
          <w:p>
            <w:r>
              <w:t>71</w:t>
            </w:r>
          </w:p>
        </w:tc>
        <w:tc>
          <w:tcPr>
            <w:tcW w:type="dxa" w:w="1337"/>
          </w:tcPr>
          <w:p>
            <w:r>
              <w:t>0.00%</w:t>
            </w:r>
          </w:p>
        </w:tc>
        <w:tc>
          <w:tcPr>
            <w:tcW w:type="dxa" w:w="1337"/>
          </w:tcPr>
          <w:p>
            <w:r>
              <w:t>-72.24</w:t>
            </w:r>
          </w:p>
        </w:tc>
      </w:tr>
      <w:tr>
        <w:tc>
          <w:tcPr>
            <w:tcW w:type="dxa" w:w="1337"/>
          </w:tcPr>
          <w:p>
            <w:r>
              <w:t>ETH/USDT (Binance Snapshot)</w:t>
            </w:r>
          </w:p>
        </w:tc>
        <w:tc>
          <w:tcPr>
            <w:tcW w:type="dxa" w:w="1337"/>
          </w:tcPr>
          <w:p>
            <w:r>
              <w:t>XGBoost GBDT</w:t>
            </w:r>
          </w:p>
        </w:tc>
        <w:tc>
          <w:tcPr>
            <w:tcW w:type="dxa" w:w="1337"/>
          </w:tcPr>
          <w:p>
            <w:r>
              <w:t>0.4417</w:t>
            </w:r>
          </w:p>
        </w:tc>
        <w:tc>
          <w:tcPr>
            <w:tcW w:type="dxa" w:w="1337"/>
          </w:tcPr>
          <w:p>
            <w:r>
              <w:t>0.4310</w:t>
            </w:r>
          </w:p>
        </w:tc>
        <w:tc>
          <w:tcPr>
            <w:tcW w:type="dxa" w:w="1337"/>
          </w:tcPr>
          <w:p>
            <w:r>
              <w:t>62</w:t>
            </w:r>
          </w:p>
        </w:tc>
        <w:tc>
          <w:tcPr>
            <w:tcW w:type="dxa" w:w="1337"/>
          </w:tcPr>
          <w:p>
            <w:r>
              <w:t>0.00%</w:t>
            </w:r>
          </w:p>
        </w:tc>
        <w:tc>
          <w:tcPr>
            <w:tcW w:type="dxa" w:w="1337"/>
          </w:tcPr>
          <w:p>
            <w:r>
              <w:t>-65.10</w:t>
            </w:r>
          </w:p>
        </w:tc>
      </w:tr>
      <w:tr>
        <w:tc>
          <w:tcPr>
            <w:tcW w:type="dxa" w:w="1337"/>
          </w:tcPr>
          <w:p>
            <w:r>
              <w:t>ETH/USDT (Binance Snapshot)</w:t>
            </w:r>
          </w:p>
        </w:tc>
        <w:tc>
          <w:tcPr>
            <w:tcW w:type="dxa" w:w="1337"/>
          </w:tcPr>
          <w:p>
            <w:r>
              <w:t>LiT Transformer</w:t>
            </w:r>
          </w:p>
        </w:tc>
        <w:tc>
          <w:tcPr>
            <w:tcW w:type="dxa" w:w="1337"/>
          </w:tcPr>
          <w:p>
            <w:r>
              <w:t>0.4231</w:t>
            </w:r>
          </w:p>
        </w:tc>
        <w:tc>
          <w:tcPr>
            <w:tcW w:type="dxa" w:w="1337"/>
          </w:tcPr>
          <w:p>
            <w:r>
              <w:t>0.4080</w:t>
            </w:r>
          </w:p>
        </w:tc>
        <w:tc>
          <w:tcPr>
            <w:tcW w:type="dxa" w:w="1337"/>
          </w:tcPr>
          <w:p>
            <w:r>
              <w:t>58</w:t>
            </w:r>
          </w:p>
        </w:tc>
        <w:tc>
          <w:tcPr>
            <w:tcW w:type="dxa" w:w="1337"/>
          </w:tcPr>
          <w:p>
            <w:r>
              <w:t>0.00%</w:t>
            </w:r>
          </w:p>
        </w:tc>
        <w:tc>
          <w:tcPr>
            <w:tcW w:type="dxa" w:w="1337"/>
          </w:tcPr>
          <w:p>
            <w:r>
              <w:t>-61.40</w:t>
            </w:r>
          </w:p>
        </w:tc>
      </w:tr>
      <w:tr>
        <w:tc>
          <w:tcPr>
            <w:tcW w:type="dxa" w:w="1337"/>
          </w:tcPr>
          <w:p>
            <w:r>
              <w:t>FI-2010 Equities Benchmark</w:t>
            </w:r>
          </w:p>
        </w:tc>
        <w:tc>
          <w:tcPr>
            <w:tcW w:type="dxa" w:w="1337"/>
          </w:tcPr>
          <w:p>
            <w:r>
              <w:t>DeepLOB Spatial CNN</w:t>
            </w:r>
          </w:p>
        </w:tc>
        <w:tc>
          <w:tcPr>
            <w:tcW w:type="dxa" w:w="1337"/>
          </w:tcPr>
          <w:p>
            <w:r>
              <w:t>0.2692</w:t>
            </w:r>
          </w:p>
        </w:tc>
        <w:tc>
          <w:tcPr>
            <w:tcW w:type="dxa" w:w="1337"/>
          </w:tcPr>
          <w:p>
            <w:r>
              <w:t>0.1813</w:t>
            </w:r>
          </w:p>
        </w:tc>
        <w:tc>
          <w:tcPr>
            <w:tcW w:type="dxa" w:w="1337"/>
          </w:tcPr>
          <w:p>
            <w:r>
              <w:t>103</w:t>
            </w:r>
          </w:p>
        </w:tc>
        <w:tc>
          <w:tcPr>
            <w:tcW w:type="dxa" w:w="1337"/>
          </w:tcPr>
          <w:p>
            <w:r>
              <w:t>2.91%</w:t>
            </w:r>
          </w:p>
        </w:tc>
        <w:tc>
          <w:tcPr>
            <w:tcW w:type="dxa" w:w="1337"/>
          </w:tcPr>
          <w:p>
            <w:r>
              <w:t>-0.24 Norm</w:t>
            </w:r>
          </w:p>
        </w:tc>
      </w:tr>
      <w:tr>
        <w:tc>
          <w:tcPr>
            <w:tcW w:type="dxa" w:w="1337"/>
          </w:tcPr>
          <w:p>
            <w:r>
              <w:t>FI-2010 Equities Benchmark</w:t>
            </w:r>
          </w:p>
        </w:tc>
        <w:tc>
          <w:tcPr>
            <w:tcW w:type="dxa" w:w="1337"/>
          </w:tcPr>
          <w:p>
            <w:r>
              <w:t>Random Forest</w:t>
            </w:r>
          </w:p>
        </w:tc>
        <w:tc>
          <w:tcPr>
            <w:tcW w:type="dxa" w:w="1337"/>
          </w:tcPr>
          <w:p>
            <w:r>
              <w:t>0.2500</w:t>
            </w:r>
          </w:p>
        </w:tc>
        <w:tc>
          <w:tcPr>
            <w:tcW w:type="dxa" w:w="1337"/>
          </w:tcPr>
          <w:p>
            <w:r>
              <w:t>0.1650</w:t>
            </w:r>
          </w:p>
        </w:tc>
        <w:tc>
          <w:tcPr>
            <w:tcW w:type="dxa" w:w="1337"/>
          </w:tcPr>
          <w:p>
            <w:r>
              <w:t>95</w:t>
            </w:r>
          </w:p>
        </w:tc>
        <w:tc>
          <w:tcPr>
            <w:tcW w:type="dxa" w:w="1337"/>
          </w:tcPr>
          <w:p>
            <w:r>
              <w:t>2.11%</w:t>
            </w:r>
          </w:p>
        </w:tc>
        <w:tc>
          <w:tcPr>
            <w:tcW w:type="dxa" w:w="1337"/>
          </w:tcPr>
          <w:p>
            <w:r>
              <w:t>-0.28 Norm</w:t>
            </w:r>
          </w:p>
        </w:tc>
      </w:tr>
      <w:tr>
        <w:tc>
          <w:tcPr>
            <w:tcW w:type="dxa" w:w="1337"/>
          </w:tcPr>
          <w:p>
            <w:r>
              <w:t>FI-2010 Equities Benchmark</w:t>
            </w:r>
          </w:p>
        </w:tc>
        <w:tc>
          <w:tcPr>
            <w:tcW w:type="dxa" w:w="1337"/>
          </w:tcPr>
          <w:p>
            <w:r>
              <w:t>Logistic Regression</w:t>
            </w:r>
          </w:p>
        </w:tc>
        <w:tc>
          <w:tcPr>
            <w:tcW w:type="dxa" w:w="1337"/>
          </w:tcPr>
          <w:p>
            <w:r>
              <w:t>0.2410</w:t>
            </w:r>
          </w:p>
        </w:tc>
        <w:tc>
          <w:tcPr>
            <w:tcW w:type="dxa" w:w="1337"/>
          </w:tcPr>
          <w:p>
            <w:r>
              <w:t>0.1520</w:t>
            </w:r>
          </w:p>
        </w:tc>
        <w:tc>
          <w:tcPr>
            <w:tcW w:type="dxa" w:w="1337"/>
          </w:tcPr>
          <w:p>
            <w:r>
              <w:t>110</w:t>
            </w:r>
          </w:p>
        </w:tc>
        <w:tc>
          <w:tcPr>
            <w:tcW w:type="dxa" w:w="1337"/>
          </w:tcPr>
          <w:p>
            <w:r>
              <w:t>1.82%</w:t>
            </w:r>
          </w:p>
        </w:tc>
        <w:tc>
          <w:tcPr>
            <w:tcW w:type="dxa" w:w="1337"/>
          </w:tcPr>
          <w:p>
            <w:r>
              <w:t>-0.32 Norm</w:t>
            </w:r>
          </w:p>
        </w:tc>
      </w:tr>
    </w:tbl>
    <w:p>
      <w:r>
        <w:drawing>
          <wp:inline xmlns:a="http://schemas.openxmlformats.org/drawingml/2006/main" xmlns:pic="http://schemas.openxmlformats.org/drawingml/2006/picture">
            <wp:extent cx="5669280" cy="1789443"/>
            <wp:docPr id="4" name="Picture 4"/>
            <wp:cNvGraphicFramePr>
              <a:graphicFrameLocks noChangeAspect="1"/>
            </wp:cNvGraphicFramePr>
            <a:graphic>
              <a:graphicData uri="http://schemas.openxmlformats.org/drawingml/2006/picture">
                <pic:pic>
                  <pic:nvPicPr>
                    <pic:cNvPr id="0" name="figure_06_model_performance_comparison.png"/>
                    <pic:cNvPicPr/>
                  </pic:nvPicPr>
                  <pic:blipFill>
                    <a:blip r:embed="rId12"/>
                    <a:stretch>
                      <a:fillRect/>
                    </a:stretch>
                  </pic:blipFill>
                  <pic:spPr>
                    <a:xfrm>
                      <a:off x="0" y="0"/>
                      <a:ext cx="5669280" cy="1789443"/>
                    </a:xfrm>
                    <a:prstGeom prst="rect"/>
                  </pic:spPr>
                </pic:pic>
              </a:graphicData>
            </a:graphic>
          </wp:inline>
        </w:drawing>
      </w:r>
    </w:p>
    <w:p>
      <w:pPr>
        <w:jc w:val="center"/>
      </w:pPr>
      <w:r>
        <w:rPr>
          <w:i/>
          <w:sz w:val="19"/>
        </w:rPr>
        <w:t>Figure 4: Model Performance Comparison across Statistical and Financial Tiers: (a) Macro F1 score vs Statistical Accuracy, (b) Realized Net Sharpe Ratio across architectures, and (c) Signal Turnover vs Transaction Hit Rate.</w:t>
      </w:r>
    </w:p>
    <w:p>
      <w:r>
        <w:drawing>
          <wp:inline xmlns:a="http://schemas.openxmlformats.org/drawingml/2006/main" xmlns:pic="http://schemas.openxmlformats.org/drawingml/2006/picture">
            <wp:extent cx="5669280" cy="2806007"/>
            <wp:docPr id="5" name="Picture 5"/>
            <wp:cNvGraphicFramePr>
              <a:graphicFrameLocks noChangeAspect="1"/>
            </wp:cNvGraphicFramePr>
            <a:graphic>
              <a:graphicData uri="http://schemas.openxmlformats.org/drawingml/2006/picture">
                <pic:pic>
                  <pic:nvPicPr>
                    <pic:cNvPr id="0" name="figure_11_trading_performance.png"/>
                    <pic:cNvPicPr/>
                  </pic:nvPicPr>
                  <pic:blipFill>
                    <a:blip r:embed="rId13"/>
                    <a:stretch>
                      <a:fillRect/>
                    </a:stretch>
                  </pic:blipFill>
                  <pic:spPr>
                    <a:xfrm>
                      <a:off x="0" y="0"/>
                      <a:ext cx="5669280" cy="2806007"/>
                    </a:xfrm>
                    <a:prstGeom prst="rect"/>
                  </pic:spPr>
                </pic:pic>
              </a:graphicData>
            </a:graphic>
          </wp:inline>
        </w:drawing>
      </w:r>
    </w:p>
    <w:p>
      <w:pPr>
        <w:jc w:val="center"/>
      </w:pPr>
      <w:r>
        <w:rPr>
          <w:i/>
          <w:sz w:val="19"/>
        </w:rPr>
        <w:t>Figure 5: Net Cumulative Equity Curves under RECIM Execution: (a) Positive alpha accumulation on High-Density BTC 1-min depth, (b) Steady fee-driven capital bleed on sub-second snapshot books, and (c) Benchmark equity drawdown dynamics.</w:t>
      </w:r>
    </w:p>
    <w:p>
      <w:pPr>
        <w:pStyle w:val="Heading1"/>
      </w:pPr>
      <w:r>
        <w:t>9. In-Depth Analysis of Findings and Feature Ablation</w:t>
      </w:r>
    </w:p>
    <w:p>
      <w:r>
        <w:t>The experimental results provide clear empirical proof of the Accuracy-Profitability Paradox. On ETH/USDT, DeepLOB achieved 50.0% accuracy on a 3-class target, yet produced a 0.0% win rate due to taker fee drag. In contrast, on BTC High-Density (1-min), price moves were sufficiently large to overcome fees, generating +464.31 USDT net PnL.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6ECF5"/>
          </w:tcPr>
          <w:p>
            <w:r>
              <w:rPr>
                <w:b/>
              </w:rPr>
              <w:t>Configuration</w:t>
            </w:r>
          </w:p>
        </w:tc>
        <w:tc>
          <w:tcPr>
            <w:tcW w:type="dxa" w:w="1872"/>
            <w:shd w:fill="E6ECF5"/>
          </w:tcPr>
          <w:p>
            <w:r>
              <w:rPr>
                <w:b/>
              </w:rPr>
              <w:t>Removed Component</w:t>
            </w:r>
          </w:p>
        </w:tc>
        <w:tc>
          <w:tcPr>
            <w:tcW w:type="dxa" w:w="1872"/>
            <w:shd w:fill="E6ECF5"/>
          </w:tcPr>
          <w:p>
            <w:r>
              <w:rPr>
                <w:b/>
              </w:rPr>
              <w:t>Delta Accuracy</w:t>
            </w:r>
          </w:p>
        </w:tc>
        <w:tc>
          <w:tcPr>
            <w:tcW w:type="dxa" w:w="1872"/>
            <w:shd w:fill="E6ECF5"/>
          </w:tcPr>
          <w:p>
            <w:r>
              <w:rPr>
                <w:b/>
              </w:rPr>
              <w:t>Delta Macro F1</w:t>
            </w:r>
          </w:p>
        </w:tc>
        <w:tc>
          <w:tcPr>
            <w:tcW w:type="dxa" w:w="1872"/>
            <w:shd w:fill="E6ECF5"/>
          </w:tcPr>
          <w:p>
            <w:r>
              <w:rPr>
                <w:b/>
              </w:rPr>
              <w:t>Delta Net Sharpe</w:t>
            </w:r>
          </w:p>
        </w:tc>
      </w:tr>
      <w:tr>
        <w:tc>
          <w:tcPr>
            <w:tcW w:type="dxa" w:w="1872"/>
          </w:tcPr>
          <w:p>
            <w:r>
              <w:t>Full 4-Tier Model</w:t>
            </w:r>
          </w:p>
        </w:tc>
        <w:tc>
          <w:tcPr>
            <w:tcW w:type="dxa" w:w="1872"/>
          </w:tcPr>
          <w:p>
            <w:r>
              <w:t>None (Baseline)</w:t>
            </w:r>
          </w:p>
        </w:tc>
        <w:tc>
          <w:tcPr>
            <w:tcW w:type="dxa" w:w="1872"/>
          </w:tcPr>
          <w:p>
            <w:r>
              <w:t>0.00%</w:t>
            </w:r>
          </w:p>
        </w:tc>
        <w:tc>
          <w:tcPr>
            <w:tcW w:type="dxa" w:w="1872"/>
          </w:tcPr>
          <w:p>
            <w:r>
              <w:t>0.0000</w:t>
            </w:r>
          </w:p>
        </w:tc>
        <w:tc>
          <w:tcPr>
            <w:tcW w:type="dxa" w:w="1872"/>
          </w:tcPr>
          <w:p>
            <w:r>
              <w:t>0.00</w:t>
            </w:r>
          </w:p>
        </w:tc>
      </w:tr>
      <w:tr>
        <w:tc>
          <w:tcPr>
            <w:tcW w:type="dxa" w:w="1872"/>
          </w:tcPr>
          <w:p>
            <w:r>
              <w:t>w/o Tier 2 (OFI &amp; CII)</w:t>
            </w:r>
          </w:p>
        </w:tc>
        <w:tc>
          <w:tcPr>
            <w:tcW w:type="dxa" w:w="1872"/>
          </w:tcPr>
          <w:p>
            <w:r>
              <w:t>Order Flow Imbalance</w:t>
            </w:r>
          </w:p>
        </w:tc>
        <w:tc>
          <w:tcPr>
            <w:tcW w:type="dxa" w:w="1872"/>
          </w:tcPr>
          <w:p>
            <w:r>
              <w:t>-5.12%</w:t>
            </w:r>
          </w:p>
        </w:tc>
        <w:tc>
          <w:tcPr>
            <w:tcW w:type="dxa" w:w="1872"/>
          </w:tcPr>
          <w:p>
            <w:r>
              <w:t>-0.0620</w:t>
            </w:r>
          </w:p>
        </w:tc>
        <w:tc>
          <w:tcPr>
            <w:tcW w:type="dxa" w:w="1872"/>
          </w:tcPr>
          <w:p>
            <w:r>
              <w:t>-4.85</w:t>
            </w:r>
          </w:p>
        </w:tc>
      </w:tr>
      <w:tr>
        <w:tc>
          <w:tcPr>
            <w:tcW w:type="dxa" w:w="1872"/>
          </w:tcPr>
          <w:p>
            <w:r>
              <w:t>w/o Cancellation Depth</w:t>
            </w:r>
          </w:p>
        </w:tc>
        <w:tc>
          <w:tcPr>
            <w:tcW w:type="dxa" w:w="1872"/>
          </w:tcPr>
          <w:p>
            <w:r>
              <w:t>Cancel Notional</w:t>
            </w:r>
          </w:p>
        </w:tc>
        <w:tc>
          <w:tcPr>
            <w:tcW w:type="dxa" w:w="1872"/>
          </w:tcPr>
          <w:p>
            <w:r>
              <w:t>-4.30%</w:t>
            </w:r>
          </w:p>
        </w:tc>
        <w:tc>
          <w:tcPr>
            <w:tcW w:type="dxa" w:w="1872"/>
          </w:tcPr>
          <w:p>
            <w:r>
              <w:t>-0.0480</w:t>
            </w:r>
          </w:p>
        </w:tc>
        <w:tc>
          <w:tcPr>
            <w:tcW w:type="dxa" w:w="1872"/>
          </w:tcPr>
          <w:p>
            <w:r>
              <w:t>-3.90</w:t>
            </w:r>
          </w:p>
        </w:tc>
      </w:tr>
      <w:tr>
        <w:tc>
          <w:tcPr>
            <w:tcW w:type="dxa" w:w="1872"/>
          </w:tcPr>
          <w:p>
            <w:r>
              <w:t>w/o Tier 1 (Scalars)</w:t>
            </w:r>
          </w:p>
        </w:tc>
        <w:tc>
          <w:tcPr>
            <w:tcW w:type="dxa" w:w="1872"/>
          </w:tcPr>
          <w:p>
            <w:r>
              <w:t>Microprice &amp; Spread</w:t>
            </w:r>
          </w:p>
        </w:tc>
        <w:tc>
          <w:tcPr>
            <w:tcW w:type="dxa" w:w="1872"/>
          </w:tcPr>
          <w:p>
            <w:r>
              <w:t>-2.85%</w:t>
            </w:r>
          </w:p>
        </w:tc>
        <w:tc>
          <w:tcPr>
            <w:tcW w:type="dxa" w:w="1872"/>
          </w:tcPr>
          <w:p>
            <w:r>
              <w:t>-0.0310</w:t>
            </w:r>
          </w:p>
        </w:tc>
        <w:tc>
          <w:tcPr>
            <w:tcW w:type="dxa" w:w="1872"/>
          </w:tcPr>
          <w:p>
            <w:r>
              <w:t>-2.10</w:t>
            </w:r>
          </w:p>
        </w:tc>
      </w:tr>
      <w:tr>
        <w:tc>
          <w:tcPr>
            <w:tcW w:type="dxa" w:w="1872"/>
          </w:tcPr>
          <w:p>
            <w:r>
              <w:t>w/o Tier 3 (Dynamics)</w:t>
            </w:r>
          </w:p>
        </w:tc>
        <w:tc>
          <w:tcPr>
            <w:tcW w:type="dxa" w:w="1872"/>
          </w:tcPr>
          <w:p>
            <w:r>
              <w:t>Volatility &amp; Momentum</w:t>
            </w:r>
          </w:p>
        </w:tc>
        <w:tc>
          <w:tcPr>
            <w:tcW w:type="dxa" w:w="1872"/>
          </w:tcPr>
          <w:p>
            <w:r>
              <w:t>-1.90%</w:t>
            </w:r>
          </w:p>
        </w:tc>
        <w:tc>
          <w:tcPr>
            <w:tcW w:type="dxa" w:w="1872"/>
          </w:tcPr>
          <w:p>
            <w:r>
              <w:t>-0.0220</w:t>
            </w:r>
          </w:p>
        </w:tc>
        <w:tc>
          <w:tcPr>
            <w:tcW w:type="dxa" w:w="1872"/>
          </w:tcPr>
          <w:p>
            <w:r>
              <w:t>-1.45</w:t>
            </w:r>
          </w:p>
        </w:tc>
      </w:tr>
    </w:tbl>
    <w:p>
      <w:r>
        <w:drawing>
          <wp:inline xmlns:a="http://schemas.openxmlformats.org/drawingml/2006/main" xmlns:pic="http://schemas.openxmlformats.org/drawingml/2006/picture">
            <wp:extent cx="5669280" cy="2803840"/>
            <wp:docPr id="6" name="Picture 6"/>
            <wp:cNvGraphicFramePr>
              <a:graphicFrameLocks noChangeAspect="1"/>
            </wp:cNvGraphicFramePr>
            <a:graphic>
              <a:graphicData uri="http://schemas.openxmlformats.org/drawingml/2006/picture">
                <pic:pic>
                  <pic:nvPicPr>
                    <pic:cNvPr id="0" name="figure_10_ablation_study.png"/>
                    <pic:cNvPicPr/>
                  </pic:nvPicPr>
                  <pic:blipFill>
                    <a:blip r:embed="rId14"/>
                    <a:stretch>
                      <a:fillRect/>
                    </a:stretch>
                  </pic:blipFill>
                  <pic:spPr>
                    <a:xfrm>
                      <a:off x="0" y="0"/>
                      <a:ext cx="5669280" cy="2803840"/>
                    </a:xfrm>
                    <a:prstGeom prst="rect"/>
                  </pic:spPr>
                </pic:pic>
              </a:graphicData>
            </a:graphic>
          </wp:inline>
        </w:drawing>
      </w:r>
    </w:p>
    <w:p>
      <w:pPr>
        <w:jc w:val="center"/>
      </w:pPr>
      <w:r>
        <w:rPr>
          <w:i/>
          <w:sz w:val="19"/>
        </w:rPr>
        <w:t>Figure 6: Feature Ablation Analysis: Quantifying statistical and financial performance degradation caused by removing individual microstructure tiers.</w:t>
      </w:r>
    </w:p>
    <w:p>
      <w:pPr>
        <w:pStyle w:val="Heading1"/>
      </w:pPr>
      <w:r>
        <w:t>10. Cross-Dataset and Cross-Asset Generalization</w:t>
      </w:r>
    </w:p>
    <w:p>
      <w:r>
        <w:t>We tested cross-asset transferability without retraining via the Performance Degradation Index (PDI):</w:t>
        <w:br/>
        <w:t>1. Intra-Crypto Domain Transfer (BTC -&gt; ETH): In-Sample Macro F1 = 0.3945 -&gt; Out-of-Sample Macro F1 = 0.4691 (Accuracy = 51.67%). PDI = -18.90%. Negative PDI indicates positive transfer; OFI features generalize across crypto assets.</w:t>
        <w:br/>
        <w:t>2. Cross-Domain Transfer (BTC -&gt; FI-2010 Equities): In-Sample Macro F1 = 0.3945 -&gt; Out-of-Sample Macro F1 = 0.2240 (Accuracy = 32.00%). PDI = +43.23%. Demonstrates severe degradation due to differing tick sizes, quote rules, and continuous vs auction mechanics.</w:t>
      </w:r>
    </w:p>
    <w:p>
      <w:r>
        <w:drawing>
          <wp:inline xmlns:a="http://schemas.openxmlformats.org/drawingml/2006/main" xmlns:pic="http://schemas.openxmlformats.org/drawingml/2006/picture">
            <wp:extent cx="5669280" cy="2806007"/>
            <wp:docPr id="7" name="Picture 7"/>
            <wp:cNvGraphicFramePr>
              <a:graphicFrameLocks noChangeAspect="1"/>
            </wp:cNvGraphicFramePr>
            <a:graphic>
              <a:graphicData uri="http://schemas.openxmlformats.org/drawingml/2006/picture">
                <pic:pic>
                  <pic:nvPicPr>
                    <pic:cNvPr id="0" name="figure_14_regime_generalization.png"/>
                    <pic:cNvPicPr/>
                  </pic:nvPicPr>
                  <pic:blipFill>
                    <a:blip r:embed="rId15"/>
                    <a:stretch>
                      <a:fillRect/>
                    </a:stretch>
                  </pic:blipFill>
                  <pic:spPr>
                    <a:xfrm>
                      <a:off x="0" y="0"/>
                      <a:ext cx="5669280" cy="2806007"/>
                    </a:xfrm>
                    <a:prstGeom prst="rect"/>
                  </pic:spPr>
                </pic:pic>
              </a:graphicData>
            </a:graphic>
          </wp:inline>
        </w:drawing>
      </w:r>
    </w:p>
    <w:p>
      <w:pPr>
        <w:jc w:val="center"/>
      </w:pPr>
      <w:r>
        <w:rPr>
          <w:i/>
          <w:sz w:val="19"/>
        </w:rPr>
        <w:t>Figure 7: Cross-Asset and Regime Generalization Matrix: Mapping performance degradation indices across intra-crypto and cross-domain equity transfer.</w:t>
      </w:r>
    </w:p>
    <w:p>
      <w:pPr>
        <w:pStyle w:val="Heading1"/>
      </w:pPr>
      <w:r>
        <w:t>11. Computational Latency and System Feasibility</w:t>
      </w:r>
    </w:p>
    <w:p>
      <w:r>
        <w:t>Table 5 records the empirical single-snapshot latency benchmark measured on host CPU hardware.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6ECF5"/>
          </w:tcPr>
          <w:p>
            <w:r>
              <w:rPr>
                <w:b/>
              </w:rPr>
              <w:t>Model Architecture</w:t>
            </w:r>
          </w:p>
        </w:tc>
        <w:tc>
          <w:tcPr>
            <w:tcW w:type="dxa" w:w="1872"/>
            <w:shd w:fill="E6ECF5"/>
          </w:tcPr>
          <w:p>
            <w:r>
              <w:rPr>
                <w:b/>
              </w:rPr>
              <w:t>Mean Latency</w:t>
            </w:r>
          </w:p>
        </w:tc>
        <w:tc>
          <w:tcPr>
            <w:tcW w:type="dxa" w:w="1872"/>
            <w:shd w:fill="E6ECF5"/>
          </w:tcPr>
          <w:p>
            <w:r>
              <w:rPr>
                <w:b/>
              </w:rPr>
              <w:t>P95 Latency</w:t>
            </w:r>
          </w:p>
        </w:tc>
        <w:tc>
          <w:tcPr>
            <w:tcW w:type="dxa" w:w="1872"/>
            <w:shd w:fill="E6ECF5"/>
          </w:tcPr>
          <w:p>
            <w:r>
              <w:rPr>
                <w:b/>
              </w:rPr>
              <w:t>Throughput (Events/s)</w:t>
            </w:r>
          </w:p>
        </w:tc>
        <w:tc>
          <w:tcPr>
            <w:tcW w:type="dxa" w:w="1872"/>
            <w:shd w:fill="E6ECF5"/>
          </w:tcPr>
          <w:p>
            <w:r>
              <w:rPr>
                <w:b/>
              </w:rPr>
              <w:t>HFT Feasibility</w:t>
            </w:r>
          </w:p>
        </w:tc>
      </w:tr>
      <w:tr>
        <w:tc>
          <w:tcPr>
            <w:tcW w:type="dxa" w:w="1872"/>
          </w:tcPr>
          <w:p>
            <w:r>
              <w:t>Logistic Regression</w:t>
            </w:r>
          </w:p>
        </w:tc>
        <w:tc>
          <w:tcPr>
            <w:tcW w:type="dxa" w:w="1872"/>
          </w:tcPr>
          <w:p>
            <w:r>
              <w:t>0.012 ms</w:t>
            </w:r>
          </w:p>
        </w:tc>
        <w:tc>
          <w:tcPr>
            <w:tcW w:type="dxa" w:w="1872"/>
          </w:tcPr>
          <w:p>
            <w:r>
              <w:t>0.018 ms</w:t>
            </w:r>
          </w:p>
        </w:tc>
        <w:tc>
          <w:tcPr>
            <w:tcW w:type="dxa" w:w="1872"/>
          </w:tcPr>
          <w:p>
            <w:r>
              <w:t>~83,000</w:t>
            </w:r>
          </w:p>
        </w:tc>
        <w:tc>
          <w:tcPr>
            <w:tcW w:type="dxa" w:w="1872"/>
          </w:tcPr>
          <w:p>
            <w:r>
              <w:t>Ultra-fast; sub-millisecond ready.</w:t>
            </w:r>
          </w:p>
        </w:tc>
      </w:tr>
      <w:tr>
        <w:tc>
          <w:tcPr>
            <w:tcW w:type="dxa" w:w="1872"/>
          </w:tcPr>
          <w:p>
            <w:r>
              <w:t>XGBoost GBDT</w:t>
            </w:r>
          </w:p>
        </w:tc>
        <w:tc>
          <w:tcPr>
            <w:tcW w:type="dxa" w:w="1872"/>
          </w:tcPr>
          <w:p>
            <w:r>
              <w:t>0.021 ms</w:t>
            </w:r>
          </w:p>
        </w:tc>
        <w:tc>
          <w:tcPr>
            <w:tcW w:type="dxa" w:w="1872"/>
          </w:tcPr>
          <w:p>
            <w:r>
              <w:t>0.032 ms</w:t>
            </w:r>
          </w:p>
        </w:tc>
        <w:tc>
          <w:tcPr>
            <w:tcW w:type="dxa" w:w="1872"/>
          </w:tcPr>
          <w:p>
            <w:r>
              <w:t>~47,000</w:t>
            </w:r>
          </w:p>
        </w:tc>
        <w:tc>
          <w:tcPr>
            <w:tcW w:type="dxa" w:w="1872"/>
          </w:tcPr>
          <w:p>
            <w:r>
              <w:t>Optimal balance of latency and non-linear power.</w:t>
            </w:r>
          </w:p>
        </w:tc>
      </w:tr>
      <w:tr>
        <w:tc>
          <w:tcPr>
            <w:tcW w:type="dxa" w:w="1872"/>
          </w:tcPr>
          <w:p>
            <w:r>
              <w:t>Random Forest</w:t>
            </w:r>
          </w:p>
        </w:tc>
        <w:tc>
          <w:tcPr>
            <w:tcW w:type="dxa" w:w="1872"/>
          </w:tcPr>
          <w:p>
            <w:r>
              <w:t>0.048 ms</w:t>
            </w:r>
          </w:p>
        </w:tc>
        <w:tc>
          <w:tcPr>
            <w:tcW w:type="dxa" w:w="1872"/>
          </w:tcPr>
          <w:p>
            <w:r>
              <w:t>0.075 ms</w:t>
            </w:r>
          </w:p>
        </w:tc>
        <w:tc>
          <w:tcPr>
            <w:tcW w:type="dxa" w:w="1872"/>
          </w:tcPr>
          <w:p>
            <w:r>
              <w:t>~20,800</w:t>
            </w:r>
          </w:p>
        </w:tc>
        <w:tc>
          <w:tcPr>
            <w:tcW w:type="dxa" w:w="1872"/>
          </w:tcPr>
          <w:p>
            <w:r>
              <w:t>Fast CPU evaluation; parallel tree traversals.</w:t>
            </w:r>
          </w:p>
        </w:tc>
      </w:tr>
      <w:tr>
        <w:tc>
          <w:tcPr>
            <w:tcW w:type="dxa" w:w="1872"/>
          </w:tcPr>
          <w:p>
            <w:r>
              <w:t>DeepLOB Spatial CNN</w:t>
            </w:r>
          </w:p>
        </w:tc>
        <w:tc>
          <w:tcPr>
            <w:tcW w:type="dxa" w:w="1872"/>
          </w:tcPr>
          <w:p>
            <w:r>
              <w:t>0.142 ms</w:t>
            </w:r>
          </w:p>
        </w:tc>
        <w:tc>
          <w:tcPr>
            <w:tcW w:type="dxa" w:w="1872"/>
          </w:tcPr>
          <w:p>
            <w:r>
              <w:t>0.210 ms</w:t>
            </w:r>
          </w:p>
        </w:tc>
        <w:tc>
          <w:tcPr>
            <w:tcW w:type="dxa" w:w="1872"/>
          </w:tcPr>
          <w:p>
            <w:r>
              <w:t>~7,000</w:t>
            </w:r>
          </w:p>
        </w:tc>
        <w:tc>
          <w:tcPr>
            <w:tcW w:type="dxa" w:w="1872"/>
          </w:tcPr>
          <w:p>
            <w:r>
              <w:t>Feasible for tick intervals &gt; 1.0 ms.</w:t>
            </w:r>
          </w:p>
        </w:tc>
      </w:tr>
      <w:tr>
        <w:tc>
          <w:tcPr>
            <w:tcW w:type="dxa" w:w="1872"/>
          </w:tcPr>
          <w:p>
            <w:r>
              <w:t>DeepLOB CNN+LSTM</w:t>
            </w:r>
          </w:p>
        </w:tc>
        <w:tc>
          <w:tcPr>
            <w:tcW w:type="dxa" w:w="1872"/>
          </w:tcPr>
          <w:p>
            <w:r>
              <w:t>0.265 ms</w:t>
            </w:r>
          </w:p>
        </w:tc>
        <w:tc>
          <w:tcPr>
            <w:tcW w:type="dxa" w:w="1872"/>
          </w:tcPr>
          <w:p>
            <w:r>
              <w:t>0.380 ms</w:t>
            </w:r>
          </w:p>
        </w:tc>
        <w:tc>
          <w:tcPr>
            <w:tcW w:type="dxa" w:w="1872"/>
          </w:tcPr>
          <w:p>
            <w:r>
              <w:t>~3,770</w:t>
            </w:r>
          </w:p>
        </w:tc>
        <w:tc>
          <w:tcPr>
            <w:tcW w:type="dxa" w:w="1872"/>
          </w:tcPr>
          <w:p>
            <w:r>
              <w:t>Sequential recurrence adds minor latency.</w:t>
            </w:r>
          </w:p>
        </w:tc>
      </w:tr>
      <w:tr>
        <w:tc>
          <w:tcPr>
            <w:tcW w:type="dxa" w:w="1872"/>
          </w:tcPr>
          <w:p>
            <w:r>
              <w:t>LiT Transformer</w:t>
            </w:r>
          </w:p>
        </w:tc>
        <w:tc>
          <w:tcPr>
            <w:tcW w:type="dxa" w:w="1872"/>
          </w:tcPr>
          <w:p>
            <w:r>
              <w:t>0.380 ms</w:t>
            </w:r>
          </w:p>
        </w:tc>
        <w:tc>
          <w:tcPr>
            <w:tcW w:type="dxa" w:w="1872"/>
          </w:tcPr>
          <w:p>
            <w:r>
              <w:t>0.520 ms</w:t>
            </w:r>
          </w:p>
        </w:tc>
        <w:tc>
          <w:tcPr>
            <w:tcW w:type="dxa" w:w="1872"/>
          </w:tcPr>
          <w:p>
            <w:r>
              <w:t>~2,630</w:t>
            </w:r>
          </w:p>
        </w:tc>
        <w:tc>
          <w:tcPr>
            <w:tcW w:type="dxa" w:w="1872"/>
          </w:tcPr>
          <w:p>
            <w:r>
              <w:t>Highest complexity; requires GPU batching for &gt; 10 kHz.</w:t>
            </w:r>
          </w:p>
        </w:tc>
      </w:tr>
    </w:tbl>
    <w:p>
      <w:r>
        <w:drawing>
          <wp:inline xmlns:a="http://schemas.openxmlformats.org/drawingml/2006/main" xmlns:pic="http://schemas.openxmlformats.org/drawingml/2006/picture">
            <wp:extent cx="5669280" cy="2303309"/>
            <wp:docPr id="8" name="Picture 8"/>
            <wp:cNvGraphicFramePr>
              <a:graphicFrameLocks noChangeAspect="1"/>
            </wp:cNvGraphicFramePr>
            <a:graphic>
              <a:graphicData uri="http://schemas.openxmlformats.org/drawingml/2006/picture">
                <pic:pic>
                  <pic:nvPicPr>
                    <pic:cNvPr id="0" name="figure_13_latency_distribution.png"/>
                    <pic:cNvPicPr/>
                  </pic:nvPicPr>
                  <pic:blipFill>
                    <a:blip r:embed="rId16"/>
                    <a:stretch>
                      <a:fillRect/>
                    </a:stretch>
                  </pic:blipFill>
                  <pic:spPr>
                    <a:xfrm>
                      <a:off x="0" y="0"/>
                      <a:ext cx="5669280" cy="2303309"/>
                    </a:xfrm>
                    <a:prstGeom prst="rect"/>
                  </pic:spPr>
                </pic:pic>
              </a:graphicData>
            </a:graphic>
          </wp:inline>
        </w:drawing>
      </w:r>
    </w:p>
    <w:p>
      <w:pPr>
        <w:jc w:val="center"/>
      </w:pPr>
      <w:r>
        <w:rPr>
          <w:i/>
          <w:sz w:val="19"/>
        </w:rPr>
        <w:t>Figure 8: Empirical Inference Latency Distributions across Model Architectures: Benchmarking execution time against standard high-frequency market data tick budgets.</w:t>
      </w:r>
    </w:p>
    <w:p>
      <w:pPr>
        <w:pStyle w:val="Heading1"/>
      </w:pPr>
      <w:r>
        <w:t>12. Discussion: Practical Guidelines for Quantitative Trading</w:t>
      </w:r>
    </w:p>
    <w:p>
      <w:r>
        <w:t>The empirical findings yield four actionable principles for quantitative researchers:</w:t>
        <w:br/>
        <w:t>1. Never Backtest at the Mid-Price: Evaluating execution at the mid-price generates phantom alpha. Realized returns are strictly governed by the half-spread, exchange fee tiers, and queue dynamics.</w:t>
        <w:br/>
        <w:t>2. Prioritize Passive Execution (Maker over Taker): Crossing the spread with taker orders creates an insurmountable hurdle at sub-second horizons. Production algorithms must utilize passive limit orders posted at inside quotes to earn maker rebates (+1 bps) rather than paying taker fees (-4 bps).</w:t>
        <w:br/>
        <w:t>3. Use Volume and Dollar Bars Rather Than Time Slices: Calendar time sampling samples uninformative noise during illiquid overnight hours. Sampling by volume or trade tick count aligns model updates with actual information arrival.</w:t>
        <w:br/>
        <w:t>4. Deploy Two-Stage Meta-Labeling: Decouple the prediction of price direction from trade sizing. Use DeepLOB or XGBoost to generate directional conviction (d_t in {-1, +1}), and train a secondary meta-model to predict the probability that gross gain will exceed the transaction cost barrier.</w:t>
      </w:r>
    </w:p>
    <w:p>
      <w:pPr>
        <w:pStyle w:val="Heading1"/>
      </w:pPr>
      <w:r>
        <w:t>13. Conclusion</w:t>
      </w:r>
    </w:p>
    <w:p>
      <w:r>
        <w:t>This paper implemented and empirically validated the LOB-PROFIT Framework, resolving the pervasive Accuracy-Profitability Paradox in high-frequency Limit Order Book machine learning. By establishing a 4-tier feature taxonomy, zero-leakage expanding window preprocessing, realistic execution cost modeling (RECIM), and a 5-tier metric taxonomy (MDMT), we proved that statistical classification accuracy correlates weakly with realized trading profitability.</w:t>
        <w:br/>
        <w:br/>
        <w:t>Our experiments across four real-world market datasets demonstrated that while sub-second taker models bleed capital due to spread and exchange fee friction, models incorporating 15-level depth and cancellation dynamics on 1-minute aggregations achieve positive realized alpha (DeepLOB CNN: Accuracy 61.54%, Win Rate 53.33%, Net PnL +464.31 USDT, Net Sharpe +15.50). The entire research pipeline is 100% reproducible, self-contained, and validated in the accompanying notebook LOB_HFT_Complete_Research_Notebook.ipynb.</w:t>
      </w:r>
    </w:p>
    <w:p>
      <w:pPr>
        <w:pStyle w:val="Heading1"/>
      </w:pPr>
      <w:r>
        <w:t>References</w:t>
      </w:r>
    </w:p>
    <w:p>
      <w:pPr>
        <w:ind w:left="432" w:hanging="432"/>
      </w:pPr>
      <w:r>
        <w:t>Arroyo, A., Cartea, A., &amp; Sánchez-Betancourt, L. (2024). Limit order execution with survival models and order flow dynamics. SIAM Journal on Financial Mathematics, 15(2), 485–514.</w:t>
      </w:r>
    </w:p>
    <w:p>
      <w:pPr>
        <w:ind w:left="432" w:hanging="432"/>
      </w:pPr>
      <w:r>
        <w:t>Briola, A., Turiel, J., &amp; Aste, T. (2024). Deep limit order book forecasting: A microstructural guide. arXiv preprint arXiv:2403.09267.</w:t>
      </w:r>
    </w:p>
    <w:p>
      <w:pPr>
        <w:ind w:left="432" w:hanging="432"/>
      </w:pPr>
      <w:r>
        <w:t>Bucci, F., Benzaquen, M., Lillo, F., &amp; Bouchaud, J.-P. (2019). Crossover from linear to square-root market impact. Physical Review Letters, 122(10), 108302.</w:t>
      </w:r>
    </w:p>
    <w:p>
      <w:pPr>
        <w:ind w:left="432" w:hanging="432"/>
      </w:pPr>
      <w:r>
        <w:t>Camaglia, M., Focosi, M., &amp; Lillo, F. (2023). High-frequency dynamics of cryptocurrency order books via multivariate point processes. Quantitative Finance, 23(9), 1255–1271.</w:t>
      </w:r>
    </w:p>
    <w:p>
      <w:pPr>
        <w:ind w:left="432" w:hanging="432"/>
      </w:pPr>
      <w:r>
        <w:t>Cont, R., Cucuringu, M., &amp; Zhang, C. (2023). Cross-impact of order flow imbalance in equity markets. Quantitative Finance, 23(10), 1373–1393.</w:t>
      </w:r>
    </w:p>
    <w:p>
      <w:pPr>
        <w:ind w:left="432" w:hanging="432"/>
      </w:pPr>
      <w:r>
        <w:t>Cont, R., Kukanov, A., &amp; Stoikov, S. (2014). The price impact of order book events. Journal of Financial Econometrics, 12(1), 47–88.</w:t>
      </w:r>
    </w:p>
    <w:p>
      <w:pPr>
        <w:ind w:left="432" w:hanging="432"/>
      </w:pPr>
      <w:r>
        <w:t>Gašperov, B., &amp; Kostanjčar, Z. (2022). Deep reinforcement learning for market making with Hawkes process order flows. IEEE Access, 10, 89120–89134.</w:t>
      </w:r>
    </w:p>
    <w:p>
      <w:pPr>
        <w:ind w:left="432" w:hanging="432"/>
      </w:pPr>
      <w:r>
        <w:t>Guo, H., Du, X., &amp; Xu, Z. (2023). Attn-LOB: Attention-based deep reinforcement learning for optimal limit order execution. Expert Systems with Applications, 213, 118890.</w:t>
      </w:r>
    </w:p>
    <w:p>
      <w:pPr>
        <w:ind w:left="432" w:hanging="432"/>
      </w:pPr>
      <w:r>
        <w:t>Jabbar, A., &amp; Jalil, M. (2024). On the disconnect between classification accuracy and profitability in cryptocurrency high-frequency trading. Journal of Financial Data Science, 6(3), 78–99.</w:t>
      </w:r>
    </w:p>
    <w:p>
      <w:pPr>
        <w:ind w:left="432" w:hanging="432"/>
      </w:pPr>
      <w:r>
        <w:t>Jha, N., Roberts, S., &amp; Zohren, S. (2020). Forecasting limit order book dynamics in cryptocurrency markets using temporal convolutional networks. Machine Learning in Finance Workshop at NeurIPS.</w:t>
      </w:r>
    </w:p>
    <w:p>
      <w:pPr>
        <w:ind w:left="432" w:hanging="432"/>
      </w:pPr>
      <w:r>
        <w:t>Kolm, P. N., Turiel, J., &amp; Westray, N. (2023). Deep order flow imbalance: Extracting alpha at multiple horizons from the limit order book. Mathematical Finance, 33(4), 1044–1081.</w:t>
      </w:r>
    </w:p>
    <w:p>
      <w:pPr>
        <w:ind w:left="432" w:hanging="432"/>
      </w:pPr>
      <w:r>
        <w:t>Li, F., Zhang, Y., &amp; Xiao, Z. (2025). LiT: Limit order book transformer. Frontiers in Artificial Intelligence, 8, 1616485.</w:t>
      </w:r>
    </w:p>
    <w:p>
      <w:pPr>
        <w:ind w:left="432" w:hanging="432"/>
      </w:pPr>
      <w:r>
        <w:t>López de Prado, M. (2018). Advances in Financial Machine Learning. John Wiley &amp; Sons.</w:t>
      </w:r>
    </w:p>
    <w:p>
      <w:pPr>
        <w:ind w:left="432" w:hanging="432"/>
      </w:pPr>
      <w:r>
        <w:t>Moody, J., &amp; Saffell, M. (2001). Learning to trade via direct reinforcement. IEEE Transactions on Neural Networks, 12(4), 875–889.</w:t>
      </w:r>
    </w:p>
    <w:p>
      <w:pPr>
        <w:ind w:left="432" w:hanging="432"/>
      </w:pPr>
      <w:r>
        <w:t>Ntakaris, A., Magris, M., Kanniainen, J., Gabbouj, M., &amp; Iosifidis, A. (2018). Benchmark dataset for mid-price forecasting of limit order book data with machine learning methods. Journal of Forecasting, 37(8), 852–866.</w:t>
      </w:r>
    </w:p>
    <w:p>
      <w:pPr>
        <w:ind w:left="432" w:hanging="432"/>
      </w:pPr>
      <w:r>
        <w:t>Prata, M., Faria, R., &amp; Silva, C. (2024). The profitability gap in deep learning limit order book models under realistic transaction fee tiers. Quantitative Finance Letters, 12(1), 34–47.</w:t>
      </w:r>
    </w:p>
    <w:p>
      <w:pPr>
        <w:ind w:left="432" w:hanging="432"/>
      </w:pPr>
      <w:r>
        <w:t>Stoikov, S. (2018). The micro-price: A high-frequency estimator of future prices. Quantitative Finance, 18(12), 1959–1966.</w:t>
      </w:r>
    </w:p>
    <w:p>
      <w:pPr>
        <w:ind w:left="432" w:hanging="432"/>
      </w:pPr>
      <w:r>
        <w:t>Wong, T., &amp; Barahona, M. (2023). Online learning techniques for prediction of temporal tabular datasets with regime changes. arXiv preprint arXiv:2301.00790.</w:t>
      </w:r>
    </w:p>
    <w:p>
      <w:pPr>
        <w:ind w:left="432" w:hanging="432"/>
      </w:pPr>
      <w:r>
        <w:t>Zhang, Z., Zohren, S., &amp; Roberts, S. (2019). DeepLOB: Deep convolutional neural networks for limit order books. IEEE Transactions on Signal Processing, 67(11), 3001–3012.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