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A6B" w:val="clear"/>
            <w:tcMar>
              <w:top w:type="dxa" w:w="461"/>
              <w:left w:type="dxa" w:w="360"/>
              <w:bottom w:type="dxa" w:w="461"/>
              <w:right w:type="dxa" w:w="360"/>
            </w:tcMar>
          </w:tcPr>
          <w:p>
            <w:pPr>
              <w:spacing w:after="60" w:before="0"/>
              <w:jc w:val="center"/>
            </w:pPr>
            <w:r>
              <w:rPr>
                <w:rFonts w:ascii="Arial" w:cs="Arial" w:eastAsia="Arial" w:hAnsi="Arial"/>
                <w:b/>
                <w:bCs/>
                <w:color w:val="FFFFFF"/>
                <w:sz w:val="80"/>
                <w:szCs w:val="80"/>
              </w:rPr>
              <w:t xml:space="preserve">BIKE SALES</w:t>
            </w:r>
          </w:p>
          <w:p>
            <w:pPr>
              <w:spacing w:after="0" w:before="0"/>
              <w:jc w:val="center"/>
            </w:pPr>
            <w:r>
              <w:rPr>
                <w:rFonts w:ascii="Arial" w:cs="Arial" w:eastAsia="Arial" w:hAnsi="Arial"/>
                <w:color w:val="93C5FD"/>
                <w:sz w:val="34"/>
                <w:szCs w:val="34"/>
              </w:rPr>
              <w:t xml:space="preserve">Tableau Dashboard</w:t>
            </w:r>
          </w:p>
        </w:tc>
      </w:tr>
    </w:tbl>
    <w:p>
      <w:pPr>
        <w:spacing w:after="200" w:before="0"/>
      </w:pPr>
    </w:p>
    <w:p>
      <w:pPr>
        <w:spacing w:after="70" w:before="0"/>
        <w:jc w:val="center"/>
      </w:pPr>
      <w:r>
        <w:rPr>
          <w:rFonts w:ascii="Arial" w:cs="Arial" w:eastAsia="Arial" w:hAnsi="Arial"/>
          <w:b/>
          <w:bCs/>
          <w:color w:val="111827"/>
          <w:sz w:val="52"/>
          <w:szCs w:val="52"/>
        </w:rPr>
        <w:t xml:space="preserve">Final Project Report</w:t>
      </w:r>
    </w:p>
    <w:p>
      <w:pPr>
        <w:spacing w:after="50" w:before="0"/>
        <w:jc w:val="center"/>
      </w:pPr>
      <w:r>
        <w:rPr>
          <w:rFonts w:ascii="Arial" w:cs="Arial" w:eastAsia="Arial" w:hAnsi="Arial"/>
          <w:i/>
          <w:iCs/>
          <w:color w:val="4B5563"/>
          <w:sz w:val="26"/>
          <w:szCs w:val="26"/>
        </w:rPr>
        <w:t xml:space="preserve">Interactive Sales Analytics Dashboard</w:t>
      </w:r>
    </w:p>
    <w:p>
      <w:pPr>
        <w:spacing w:after="220" w:before="0"/>
        <w:jc w:val="center"/>
      </w:pPr>
      <w:r>
        <w:rPr>
          <w:rFonts w:ascii="Arial" w:cs="Arial" w:eastAsia="Arial" w:hAnsi="Arial"/>
          <w:color w:val="4B5563"/>
          <w:sz w:val="23"/>
          <w:szCs w:val="23"/>
        </w:rPr>
        <w:t xml:space="preserve">Data Connection  →  Visualizations  →  Dashboard Assembly</w:t>
      </w:r>
    </w:p>
    <w:p>
      <w:pPr>
        <w:pBdr>
          <w:bottom w:val="single" w:color="1B3A6B" w:sz="6"/>
        </w:pBdr>
        <w:spacing w:after="160" w:before="0"/>
      </w:pPr>
    </w:p>
    <w:p>
      <w:pPr>
        <w:spacing w:after="60" w:before="0"/>
      </w:pPr>
    </w:p>
    <w:p>
      <w:pPr>
        <w:spacing w:after="55" w:before="55"/>
        <w:ind w:left="144"/>
      </w:pPr>
      <w:r>
        <w:rPr>
          <w:rFonts w:ascii="Arial" w:cs="Arial" w:eastAsia="Arial" w:hAnsi="Arial"/>
          <w:b/>
          <w:bCs/>
          <w:color w:val="1B3A6B"/>
          <w:sz w:val="21"/>
          <w:szCs w:val="21"/>
        </w:rPr>
        <w:t xml:space="preserve">Prepared By:  </w:t>
      </w:r>
      <w:r>
        <w:rPr>
          <w:rFonts w:ascii="Arial" w:cs="Arial" w:eastAsia="Arial" w:hAnsi="Arial"/>
          <w:color w:val="111827"/>
          <w:sz w:val="21"/>
          <w:szCs w:val="21"/>
        </w:rPr>
        <w:t xml:space="preserve">Rahul</w:t>
      </w:r>
    </w:p>
    <w:p>
      <w:pPr>
        <w:spacing w:after="55" w:before="55"/>
        <w:ind w:left="144"/>
      </w:pPr>
      <w:r>
        <w:rPr>
          <w:rFonts w:ascii="Arial" w:cs="Arial" w:eastAsia="Arial" w:hAnsi="Arial"/>
          <w:b/>
          <w:bCs/>
          <w:color w:val="1B3A6B"/>
          <w:sz w:val="21"/>
          <w:szCs w:val="21"/>
        </w:rPr>
        <w:t xml:space="preserve">Program:  </w:t>
      </w:r>
      <w:r>
        <w:rPr>
          <w:rFonts w:ascii="Arial" w:cs="Arial" w:eastAsia="Arial" w:hAnsi="Arial"/>
          <w:color w:val="111827"/>
          <w:sz w:val="21"/>
          <w:szCs w:val="21"/>
        </w:rPr>
        <w:t xml:space="preserve">MS Information Systems — Texas Tech University, Rawls College of Business</w:t>
      </w:r>
    </w:p>
    <w:p>
      <w:pPr>
        <w:spacing w:after="55" w:before="55"/>
        <w:ind w:left="144"/>
      </w:pPr>
      <w:r>
        <w:rPr>
          <w:rFonts w:ascii="Arial" w:cs="Arial" w:eastAsia="Arial" w:hAnsi="Arial"/>
          <w:b/>
          <w:bCs/>
          <w:color w:val="1B3A6B"/>
          <w:sz w:val="21"/>
          <w:szCs w:val="21"/>
        </w:rPr>
        <w:t xml:space="preserve">Course:  </w:t>
      </w:r>
      <w:r>
        <w:rPr>
          <w:rFonts w:ascii="Arial" w:cs="Arial" w:eastAsia="Arial" w:hAnsi="Arial"/>
          <w:color w:val="111827"/>
          <w:sz w:val="21"/>
          <w:szCs w:val="21"/>
        </w:rPr>
        <w:t xml:space="preserve">Data Analysis | SQL, Tableau, Power BI &amp; Excel | Real Projects (Udemy)</w:t>
      </w:r>
    </w:p>
    <w:p>
      <w:pPr>
        <w:spacing w:after="55" w:before="55"/>
        <w:ind w:left="144"/>
      </w:pPr>
      <w:r>
        <w:rPr>
          <w:rFonts w:ascii="Arial" w:cs="Arial" w:eastAsia="Arial" w:hAnsi="Arial"/>
          <w:b/>
          <w:bCs/>
          <w:color w:val="1B3A6B"/>
          <w:sz w:val="21"/>
          <w:szCs w:val="21"/>
        </w:rPr>
        <w:t xml:space="preserve">Tool:  </w:t>
      </w:r>
      <w:r>
        <w:rPr>
          <w:rFonts w:ascii="Arial" w:cs="Arial" w:eastAsia="Arial" w:hAnsi="Arial"/>
          <w:color w:val="111827"/>
          <w:sz w:val="21"/>
          <w:szCs w:val="21"/>
        </w:rPr>
        <w:t xml:space="preserve">Tableau Desktop</w:t>
      </w:r>
    </w:p>
    <w:p>
      <w:pPr>
        <w:spacing w:after="55" w:before="55"/>
        <w:ind w:left="144"/>
      </w:pPr>
      <w:r>
        <w:rPr>
          <w:rFonts w:ascii="Arial" w:cs="Arial" w:eastAsia="Arial" w:hAnsi="Arial"/>
          <w:b/>
          <w:bCs/>
          <w:color w:val="1B3A6B"/>
          <w:sz w:val="21"/>
          <w:szCs w:val="21"/>
        </w:rPr>
        <w:t xml:space="preserve">Dataset:  </w:t>
      </w:r>
      <w:r>
        <w:rPr>
          <w:rFonts w:ascii="Arial" w:cs="Arial" w:eastAsia="Arial" w:hAnsi="Arial"/>
          <w:color w:val="111827"/>
          <w:sz w:val="21"/>
          <w:szCs w:val="21"/>
        </w:rPr>
        <w:t xml:space="preserve">Bike Sales Dataset — Sales, Cost, Revenue, Profit across Countries &amp; Categories</w:t>
      </w:r>
    </w:p>
    <w:p>
      <w:pPr>
        <w:spacing w:after="55" w:before="55"/>
        <w:ind w:left="144"/>
      </w:pPr>
      <w:r>
        <w:rPr>
          <w:rFonts w:ascii="Arial" w:cs="Arial" w:eastAsia="Arial" w:hAnsi="Arial"/>
          <w:b/>
          <w:bCs/>
          <w:color w:val="1B3A6B"/>
          <w:sz w:val="21"/>
          <w:szCs w:val="21"/>
        </w:rPr>
        <w:t xml:space="preserve">File:  </w:t>
      </w:r>
      <w:r>
        <w:rPr>
          <w:rFonts w:ascii="Arial" w:cs="Arial" w:eastAsia="Arial" w:hAnsi="Arial"/>
          <w:color w:val="111827"/>
          <w:sz w:val="21"/>
          <w:szCs w:val="21"/>
        </w:rPr>
        <w:t xml:space="preserve">Bike_sales.twbx — Tableau Packaged Workbook with embedded data</w:t>
      </w:r>
    </w:p>
    <w:p>
      <w:pPr>
        <w:spacing w:after="55" w:before="55"/>
        <w:ind w:left="144"/>
      </w:pPr>
      <w:r>
        <w:rPr>
          <w:rFonts w:ascii="Arial" w:cs="Arial" w:eastAsia="Arial" w:hAnsi="Arial"/>
          <w:b/>
          <w:bCs/>
          <w:color w:val="1B3A6B"/>
          <w:sz w:val="21"/>
          <w:szCs w:val="21"/>
        </w:rPr>
        <w:t xml:space="preserve">Year:  </w:t>
      </w:r>
      <w:r>
        <w:rPr>
          <w:rFonts w:ascii="Arial" w:cs="Arial" w:eastAsia="Arial" w:hAnsi="Arial"/>
          <w:color w:val="111827"/>
          <w:sz w:val="21"/>
          <w:szCs w:val="21"/>
        </w:rPr>
        <w:t xml:space="preserve">2026</w:t>
      </w:r>
    </w:p>
    <w:p>
      <w:pPr>
        <w:spacing w:after="0" w:before="0"/>
      </w:pPr>
      <w:r>
        <w:br w:type="page"/>
      </w:r>
    </w:p>
    <w:p>
      <w:pPr>
        <w:pStyle w:val="Heading1"/>
        <w:shd w:fill="1B3A6B" w:val="clear"/>
        <w:spacing w:after="160" w:before="0"/>
        <w:ind w:left="173"/>
      </w:pPr>
      <w:r>
        <w:rPr>
          <w:rFonts w:ascii="Arial" w:cs="Arial" w:eastAsia="Arial" w:hAnsi="Arial"/>
          <w:b/>
          <w:bCs/>
          <w:color w:val="FFFFFF"/>
          <w:sz w:val="30"/>
          <w:szCs w:val="30"/>
        </w:rPr>
        <w:t xml:space="preserve">Table of Contents</w:t>
      </w:r>
    </w:p>
    <w:p>
      <w:pPr>
        <w:spacing w:after="60" w:before="0"/>
      </w:pPr>
    </w:p>
    <w:p>
      <w:pPr>
        <w:tabs>
          <w:tab w:val="right" w:pos="9360" w:leader="dot"/>
        </w:tabs>
        <w:spacing w:after="70" w:before="70"/>
      </w:pPr>
      <w:r>
        <w:rPr>
          <w:rFonts w:ascii="Arial" w:cs="Arial" w:eastAsia="Arial" w:hAnsi="Arial"/>
          <w:b/>
          <w:bCs/>
          <w:color w:val="1B3A6B"/>
          <w:sz w:val="22"/>
          <w:szCs w:val="22"/>
        </w:rPr>
        <w:t xml:space="preserve">Step 01  </w:t>
      </w:r>
      <w:r>
        <w:rPr>
          <w:rFonts w:ascii="Arial" w:cs="Arial" w:eastAsia="Arial" w:hAnsi="Arial"/>
          <w:color w:val="111827"/>
          <w:sz w:val="22"/>
          <w:szCs w:val="22"/>
        </w:rPr>
        <w:t xml:space="preserve">Project Overview &amp; Dataset</w:t>
      </w:r>
      <w:r>
        <w:rPr>
          <w:rFonts w:ascii="Arial" w:cs="Arial" w:eastAsia="Arial" w:hAnsi="Arial"/>
          <w:color w:val="9CA3AF"/>
          <w:sz w:val="22"/>
          <w:szCs w:val="22"/>
        </w:rPr>
        <w:t xml:space="preserve">	3</w:t>
      </w:r>
    </w:p>
    <w:p>
      <w:pPr>
        <w:tabs>
          <w:tab w:val="right" w:pos="9360" w:leader="dot"/>
        </w:tabs>
        <w:spacing w:after="70" w:before="70"/>
      </w:pPr>
      <w:r>
        <w:rPr>
          <w:rFonts w:ascii="Arial" w:cs="Arial" w:eastAsia="Arial" w:hAnsi="Arial"/>
          <w:b/>
          <w:bCs/>
          <w:color w:val="1B3A6B"/>
          <w:sz w:val="22"/>
          <w:szCs w:val="22"/>
        </w:rPr>
        <w:t xml:space="preserve">Step 02  </w:t>
      </w:r>
      <w:r>
        <w:rPr>
          <w:rFonts w:ascii="Arial" w:cs="Arial" w:eastAsia="Arial" w:hAnsi="Arial"/>
          <w:color w:val="111827"/>
          <w:sz w:val="22"/>
          <w:szCs w:val="22"/>
        </w:rPr>
        <w:t xml:space="preserve">Data Connection &amp; Source Configuration</w:t>
      </w:r>
      <w:r>
        <w:rPr>
          <w:rFonts w:ascii="Arial" w:cs="Arial" w:eastAsia="Arial" w:hAnsi="Arial"/>
          <w:color w:val="9CA3AF"/>
          <w:sz w:val="22"/>
          <w:szCs w:val="22"/>
        </w:rPr>
        <w:t xml:space="preserve">	4</w:t>
      </w:r>
    </w:p>
    <w:p>
      <w:pPr>
        <w:tabs>
          <w:tab w:val="right" w:pos="9360" w:leader="dot"/>
        </w:tabs>
        <w:spacing w:after="70" w:before="70"/>
      </w:pPr>
      <w:r>
        <w:rPr>
          <w:rFonts w:ascii="Arial" w:cs="Arial" w:eastAsia="Arial" w:hAnsi="Arial"/>
          <w:b/>
          <w:bCs/>
          <w:color w:val="1B3A6B"/>
          <w:sz w:val="22"/>
          <w:szCs w:val="22"/>
        </w:rPr>
        <w:t xml:space="preserve">Step 03  </w:t>
      </w:r>
      <w:r>
        <w:rPr>
          <w:rFonts w:ascii="Arial" w:cs="Arial" w:eastAsia="Arial" w:hAnsi="Arial"/>
          <w:color w:val="111827"/>
          <w:sz w:val="22"/>
          <w:szCs w:val="22"/>
        </w:rPr>
        <w:t xml:space="preserve">Sheet 1  —  Top 10 Products Chart</w:t>
      </w:r>
      <w:r>
        <w:rPr>
          <w:rFonts w:ascii="Arial" w:cs="Arial" w:eastAsia="Arial" w:hAnsi="Arial"/>
          <w:color w:val="9CA3AF"/>
          <w:sz w:val="22"/>
          <w:szCs w:val="22"/>
        </w:rPr>
        <w:t xml:space="preserve">	5</w:t>
      </w:r>
    </w:p>
    <w:p>
      <w:pPr>
        <w:tabs>
          <w:tab w:val="right" w:pos="9360" w:leader="dot"/>
        </w:tabs>
        <w:spacing w:after="70" w:before="70"/>
      </w:pPr>
      <w:r>
        <w:rPr>
          <w:rFonts w:ascii="Arial" w:cs="Arial" w:eastAsia="Arial" w:hAnsi="Arial"/>
          <w:b/>
          <w:bCs/>
          <w:color w:val="1B3A6B"/>
          <w:sz w:val="22"/>
          <w:szCs w:val="22"/>
        </w:rPr>
        <w:t xml:space="preserve">Step 04  </w:t>
      </w:r>
      <w:r>
        <w:rPr>
          <w:rFonts w:ascii="Arial" w:cs="Arial" w:eastAsia="Arial" w:hAnsi="Arial"/>
          <w:color w:val="111827"/>
          <w:sz w:val="22"/>
          <w:szCs w:val="22"/>
        </w:rPr>
        <w:t xml:space="preserve">Sheet 2  —  Stacked Bar: Profit by Sub-Category</w:t>
      </w:r>
      <w:r>
        <w:rPr>
          <w:rFonts w:ascii="Arial" w:cs="Arial" w:eastAsia="Arial" w:hAnsi="Arial"/>
          <w:color w:val="9CA3AF"/>
          <w:sz w:val="22"/>
          <w:szCs w:val="22"/>
        </w:rPr>
        <w:t xml:space="preserve">	6</w:t>
      </w:r>
    </w:p>
    <w:p>
      <w:pPr>
        <w:tabs>
          <w:tab w:val="right" w:pos="9360" w:leader="dot"/>
        </w:tabs>
        <w:spacing w:after="70" w:before="70"/>
      </w:pPr>
      <w:r>
        <w:rPr>
          <w:rFonts w:ascii="Arial" w:cs="Arial" w:eastAsia="Arial" w:hAnsi="Arial"/>
          <w:b/>
          <w:bCs/>
          <w:color w:val="1B3A6B"/>
          <w:sz w:val="22"/>
          <w:szCs w:val="22"/>
        </w:rPr>
        <w:t xml:space="preserve">Step 05  </w:t>
      </w:r>
      <w:r>
        <w:rPr>
          <w:rFonts w:ascii="Arial" w:cs="Arial" w:eastAsia="Arial" w:hAnsi="Arial"/>
          <w:color w:val="111827"/>
          <w:sz w:val="22"/>
          <w:szCs w:val="22"/>
        </w:rPr>
        <w:t xml:space="preserve">Sheet 3  —  Bubble Chart: Revenue by Age Group</w:t>
      </w:r>
      <w:r>
        <w:rPr>
          <w:rFonts w:ascii="Arial" w:cs="Arial" w:eastAsia="Arial" w:hAnsi="Arial"/>
          <w:color w:val="9CA3AF"/>
          <w:sz w:val="22"/>
          <w:szCs w:val="22"/>
        </w:rPr>
        <w:t xml:space="preserve">	7</w:t>
      </w:r>
    </w:p>
    <w:p>
      <w:pPr>
        <w:tabs>
          <w:tab w:val="right" w:pos="9360" w:leader="dot"/>
        </w:tabs>
        <w:spacing w:after="70" w:before="70"/>
      </w:pPr>
      <w:r>
        <w:rPr>
          <w:rFonts w:ascii="Arial" w:cs="Arial" w:eastAsia="Arial" w:hAnsi="Arial"/>
          <w:b/>
          <w:bCs/>
          <w:color w:val="1B3A6B"/>
          <w:sz w:val="22"/>
          <w:szCs w:val="22"/>
        </w:rPr>
        <w:t xml:space="preserve">Step 06  </w:t>
      </w:r>
      <w:r>
        <w:rPr>
          <w:rFonts w:ascii="Arial" w:cs="Arial" w:eastAsia="Arial" w:hAnsi="Arial"/>
          <w:color w:val="111827"/>
          <w:sz w:val="22"/>
          <w:szCs w:val="22"/>
        </w:rPr>
        <w:t xml:space="preserve">Sheet 4  —  Map: Profit by Country</w:t>
      </w:r>
      <w:r>
        <w:rPr>
          <w:rFonts w:ascii="Arial" w:cs="Arial" w:eastAsia="Arial" w:hAnsi="Arial"/>
          <w:color w:val="9CA3AF"/>
          <w:sz w:val="22"/>
          <w:szCs w:val="22"/>
        </w:rPr>
        <w:t xml:space="preserve">	8</w:t>
      </w:r>
    </w:p>
    <w:p>
      <w:pPr>
        <w:tabs>
          <w:tab w:val="right" w:pos="9360" w:leader="dot"/>
        </w:tabs>
        <w:spacing w:after="70" w:before="70"/>
      </w:pPr>
      <w:r>
        <w:rPr>
          <w:rFonts w:ascii="Arial" w:cs="Arial" w:eastAsia="Arial" w:hAnsi="Arial"/>
          <w:b/>
          <w:bCs/>
          <w:color w:val="1B3A6B"/>
          <w:sz w:val="22"/>
          <w:szCs w:val="22"/>
        </w:rPr>
        <w:t xml:space="preserve">Step 07  </w:t>
      </w:r>
      <w:r>
        <w:rPr>
          <w:rFonts w:ascii="Arial" w:cs="Arial" w:eastAsia="Arial" w:hAnsi="Arial"/>
          <w:color w:val="111827"/>
          <w:sz w:val="22"/>
          <w:szCs w:val="22"/>
        </w:rPr>
        <w:t xml:space="preserve">Sheet 5  —  Profit Card &amp; YoY % Change</w:t>
      </w:r>
      <w:r>
        <w:rPr>
          <w:rFonts w:ascii="Arial" w:cs="Arial" w:eastAsia="Arial" w:hAnsi="Arial"/>
          <w:color w:val="9CA3AF"/>
          <w:sz w:val="22"/>
          <w:szCs w:val="22"/>
        </w:rPr>
        <w:t xml:space="preserve">	9</w:t>
      </w:r>
    </w:p>
    <w:p>
      <w:pPr>
        <w:tabs>
          <w:tab w:val="right" w:pos="9360" w:leader="dot"/>
        </w:tabs>
        <w:spacing w:after="70" w:before="70"/>
      </w:pPr>
      <w:r>
        <w:rPr>
          <w:rFonts w:ascii="Arial" w:cs="Arial" w:eastAsia="Arial" w:hAnsi="Arial"/>
          <w:b/>
          <w:bCs/>
          <w:color w:val="1B3A6B"/>
          <w:sz w:val="22"/>
          <w:szCs w:val="22"/>
        </w:rPr>
        <w:t xml:space="preserve">Step 08  </w:t>
      </w:r>
      <w:r>
        <w:rPr>
          <w:rFonts w:ascii="Arial" w:cs="Arial" w:eastAsia="Arial" w:hAnsi="Arial"/>
          <w:color w:val="111827"/>
          <w:sz w:val="22"/>
          <w:szCs w:val="22"/>
        </w:rPr>
        <w:t xml:space="preserve">Sheet 6  —  Revenue Card &amp; Line Chart</w:t>
      </w:r>
      <w:r>
        <w:rPr>
          <w:rFonts w:ascii="Arial" w:cs="Arial" w:eastAsia="Arial" w:hAnsi="Arial"/>
          <w:color w:val="9CA3AF"/>
          <w:sz w:val="22"/>
          <w:szCs w:val="22"/>
        </w:rPr>
        <w:t xml:space="preserve">	10</w:t>
      </w:r>
    </w:p>
    <w:p>
      <w:pPr>
        <w:tabs>
          <w:tab w:val="right" w:pos="9360" w:leader="dot"/>
        </w:tabs>
        <w:spacing w:after="70" w:before="70"/>
      </w:pPr>
      <w:r>
        <w:rPr>
          <w:rFonts w:ascii="Arial" w:cs="Arial" w:eastAsia="Arial" w:hAnsi="Arial"/>
          <w:b/>
          <w:bCs/>
          <w:color w:val="1B3A6B"/>
          <w:sz w:val="22"/>
          <w:szCs w:val="22"/>
        </w:rPr>
        <w:t xml:space="preserve">Step 09  </w:t>
      </w:r>
      <w:r>
        <w:rPr>
          <w:rFonts w:ascii="Arial" w:cs="Arial" w:eastAsia="Arial" w:hAnsi="Arial"/>
          <w:color w:val="111827"/>
          <w:sz w:val="22"/>
          <w:szCs w:val="22"/>
        </w:rPr>
        <w:t xml:space="preserve">Sheet 7  —  Product Category Cost Card</w:t>
      </w:r>
      <w:r>
        <w:rPr>
          <w:rFonts w:ascii="Arial" w:cs="Arial" w:eastAsia="Arial" w:hAnsi="Arial"/>
          <w:color w:val="9CA3AF"/>
          <w:sz w:val="22"/>
          <w:szCs w:val="22"/>
        </w:rPr>
        <w:t xml:space="preserve">	11</w:t>
      </w:r>
    </w:p>
    <w:p>
      <w:pPr>
        <w:tabs>
          <w:tab w:val="right" w:pos="9360" w:leader="dot"/>
        </w:tabs>
        <w:spacing w:after="70" w:before="70"/>
      </w:pPr>
      <w:r>
        <w:rPr>
          <w:rFonts w:ascii="Arial" w:cs="Arial" w:eastAsia="Arial" w:hAnsi="Arial"/>
          <w:b/>
          <w:bCs/>
          <w:color w:val="1B3A6B"/>
          <w:sz w:val="22"/>
          <w:szCs w:val="22"/>
        </w:rPr>
        <w:t xml:space="preserve">Step 10  </w:t>
      </w:r>
      <w:r>
        <w:rPr>
          <w:rFonts w:ascii="Arial" w:cs="Arial" w:eastAsia="Arial" w:hAnsi="Arial"/>
          <w:color w:val="111827"/>
          <w:sz w:val="22"/>
          <w:szCs w:val="22"/>
        </w:rPr>
        <w:t xml:space="preserve">Dashboard Assembly — Sales Dashboard</w:t>
      </w:r>
      <w:r>
        <w:rPr>
          <w:rFonts w:ascii="Arial" w:cs="Arial" w:eastAsia="Arial" w:hAnsi="Arial"/>
          <w:color w:val="9CA3AF"/>
          <w:sz w:val="22"/>
          <w:szCs w:val="22"/>
        </w:rPr>
        <w:t xml:space="preserve">	12</w:t>
      </w:r>
    </w:p>
    <w:p>
      <w:pPr>
        <w:tabs>
          <w:tab w:val="right" w:pos="9360" w:leader="dot"/>
        </w:tabs>
        <w:spacing w:after="70" w:before="70"/>
      </w:pPr>
      <w:r>
        <w:rPr>
          <w:rFonts w:ascii="Arial" w:cs="Arial" w:eastAsia="Arial" w:hAnsi="Arial"/>
          <w:sz w:val="22"/>
          <w:szCs w:val="22"/>
        </w:rPr>
        <w:t xml:space="preserve"/>
      </w:r>
      <w:r>
        <w:rPr>
          <w:rFonts w:ascii="Arial" w:cs="Arial" w:eastAsia="Arial" w:hAnsi="Arial"/>
          <w:color w:val="111827"/>
          <w:sz w:val="22"/>
          <w:szCs w:val="22"/>
        </w:rPr>
        <w:t xml:space="preserve">Key Insights &amp; Business Findings</w:t>
      </w:r>
      <w:r>
        <w:rPr>
          <w:rFonts w:ascii="Arial" w:cs="Arial" w:eastAsia="Arial" w:hAnsi="Arial"/>
          <w:color w:val="9CA3AF"/>
          <w:sz w:val="22"/>
          <w:szCs w:val="22"/>
        </w:rPr>
        <w:t xml:space="preserve">	14</w:t>
      </w:r>
    </w:p>
    <w:p>
      <w:pPr>
        <w:tabs>
          <w:tab w:val="right" w:pos="9360" w:leader="dot"/>
        </w:tabs>
        <w:spacing w:after="70" w:before="70"/>
      </w:pPr>
      <w:r>
        <w:rPr>
          <w:rFonts w:ascii="Arial" w:cs="Arial" w:eastAsia="Arial" w:hAnsi="Arial"/>
          <w:sz w:val="22"/>
          <w:szCs w:val="22"/>
        </w:rPr>
        <w:t xml:space="preserve"/>
      </w:r>
      <w:r>
        <w:rPr>
          <w:rFonts w:ascii="Arial" w:cs="Arial" w:eastAsia="Arial" w:hAnsi="Arial"/>
          <w:color w:val="111827"/>
          <w:sz w:val="22"/>
          <w:szCs w:val="22"/>
        </w:rPr>
        <w:t xml:space="preserve">Calculated Fields &amp; Parameters</w:t>
      </w:r>
      <w:r>
        <w:rPr>
          <w:rFonts w:ascii="Arial" w:cs="Arial" w:eastAsia="Arial" w:hAnsi="Arial"/>
          <w:color w:val="9CA3AF"/>
          <w:sz w:val="22"/>
          <w:szCs w:val="22"/>
        </w:rPr>
        <w:t xml:space="preserve">	15</w:t>
      </w:r>
    </w:p>
    <w:p>
      <w:pPr>
        <w:tabs>
          <w:tab w:val="right" w:pos="9360" w:leader="dot"/>
        </w:tabs>
        <w:spacing w:after="70" w:before="70"/>
      </w:pPr>
      <w:r>
        <w:rPr>
          <w:rFonts w:ascii="Arial" w:cs="Arial" w:eastAsia="Arial" w:hAnsi="Arial"/>
          <w:sz w:val="22"/>
          <w:szCs w:val="22"/>
        </w:rPr>
        <w:t xml:space="preserve"/>
      </w:r>
      <w:r>
        <w:rPr>
          <w:rFonts w:ascii="Arial" w:cs="Arial" w:eastAsia="Arial" w:hAnsi="Arial"/>
          <w:color w:val="111827"/>
          <w:sz w:val="22"/>
          <w:szCs w:val="22"/>
        </w:rPr>
        <w:t xml:space="preserve">Project Conclusion</w:t>
      </w:r>
      <w:r>
        <w:rPr>
          <w:rFonts w:ascii="Arial" w:cs="Arial" w:eastAsia="Arial" w:hAnsi="Arial"/>
          <w:color w:val="9CA3AF"/>
          <w:sz w:val="22"/>
          <w:szCs w:val="22"/>
        </w:rPr>
        <w:t xml:space="preserve">	16</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01</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Project Overview &amp; Dataset</w:t>
            </w:r>
          </w:p>
          <w:p>
            <w:pPr>
              <w:spacing w:after="0" w:before="0"/>
            </w:pPr>
            <w:r>
              <w:rPr>
                <w:rFonts w:ascii="Arial" w:cs="Arial" w:eastAsia="Arial" w:hAnsi="Arial"/>
                <w:i/>
                <w:iCs/>
                <w:color w:val="4B5563"/>
                <w:sz w:val="19"/>
                <w:szCs w:val="19"/>
              </w:rPr>
              <w:t xml:space="preserve">Course context · Dataset structure · Fields · Business objectives</w:t>
            </w:r>
          </w:p>
        </w:tc>
      </w:tr>
    </w:tbl>
    <w:p>
      <w:pPr>
        <w:spacing w:after="120" w:before="0"/>
      </w:pPr>
    </w:p>
    <w:p>
      <w:pPr>
        <w:spacing w:after="90" w:before="60"/>
        <w:jc w:val="both"/>
      </w:pPr>
      <w:r>
        <w:rPr>
          <w:rFonts w:ascii="Arial" w:cs="Arial" w:eastAsia="Arial" w:hAnsi="Arial"/>
          <w:color w:val="111827"/>
          <w:sz w:val="21"/>
          <w:szCs w:val="21"/>
        </w:rPr>
        <w:t xml:space="preserve">This project is part of the Udemy course "Data Analysis | SQL, Tableau, Power BI &amp; Excel | Real Projects." The Bike Sales Tableau Dashboard is built in Section 6 of the course (Lessons 130–139), covering all steps from connecting Tableau to the sales dataset through to assembling the final interactive dashboard.</w:t>
      </w:r>
    </w:p>
    <w:p>
      <w:pPr>
        <w:spacing w:after="80" w:before="0"/>
      </w:pPr>
    </w:p>
    <w:p>
      <w:pPr>
        <w:pStyle w:val="Heading3"/>
      </w:pPr>
      <w:r>
        <w:rPr>
          <w:rFonts w:ascii="Arial" w:cs="Arial" w:eastAsia="Arial" w:hAnsi="Arial"/>
          <w:b/>
          <w:bCs/>
          <w:color w:val="111827"/>
          <w:sz w:val="22"/>
          <w:szCs w:val="22"/>
        </w:rPr>
        <w:t xml:space="preserve">Dataset: Sales (Bike Sales)</w:t>
      </w:r>
    </w:p>
    <w:p>
      <w:pPr>
        <w:spacing w:after="90" w:before="60"/>
        <w:jc w:val="both"/>
      </w:pPr>
      <w:r>
        <w:rPr>
          <w:rFonts w:ascii="Arial" w:cs="Arial" w:eastAsia="Arial" w:hAnsi="Arial"/>
          <w:color w:val="111827"/>
          <w:sz w:val="21"/>
          <w:szCs w:val="21"/>
        </w:rPr>
        <w:t xml:space="preserve">The dataset is a bike sales transactional record containing customer demographics, product details, and financial metrics. It powers all nine worksheets and the final dashboard through a single federated data connection embedded in the packaged workbook.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728"/>
        <w:gridCol w:w="5472"/>
      </w:tblGrid>
      <w:tr>
        <w:tc>
          <w:tcPr>
            <w:tcW w:type="dxa" w:w="2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Field Name</w:t>
            </w:r>
          </w:p>
        </w:tc>
        <w:tc>
          <w:tcPr>
            <w:tcW w:type="dxa" w:w="1728"/>
            <w:tcBorders>
              <w:top w:val="single" w:color="1B3A6B" w:sz="4"/>
              <w:left w:val="single" w:color="1B3A6B" w:sz="4"/>
              <w:bottom w:val="single" w:color="1B3A6B" w:sz="4"/>
              <w:right w:val="single" w:color="1B3A6B" w:sz="4"/>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5472"/>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Date</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Date</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Transaction date — used for year-level filtering and time series</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Country</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Country where the sale occurred — used in the map visualization</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State</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State/region — sub-level geography</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Customer Age</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Age of the customer — used in age group bubble chart</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Age Group</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Derived age bucket — Youth, Young Adults, Adults, Seniors</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Customer Gender</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Male or Female — demographic segmentation field</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Product Category</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High-level category — Accessories, Bikes, Clothing</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Sub Category</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Product sub-type — e.g., Road Bikes, Helmets, Jerseys</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Product</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Dimension</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Individual product name — used in Top 10 Products chart</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Order Quantity</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Number of units sold per transaction</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Unit Cost</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Cost per unit — used in Cost Card</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Unit Price</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Selling price per unit</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Cost</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Total cost = Unit Cost × Order Quantity</w:t>
            </w:r>
          </w:p>
        </w:tc>
      </w:tr>
      <w:tr>
        <w:tc>
          <w:tcPr>
            <w:tcW w:type="dxa" w:w="216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b/>
                <w:bCs/>
                <w:color w:val="1B3A6B"/>
                <w:sz w:val="19"/>
                <w:szCs w:val="19"/>
              </w:rPr>
              <w:t xml:space="preserve">Revenue</w:t>
            </w:r>
          </w:p>
        </w:tc>
        <w:tc>
          <w:tcPr>
            <w:tcW w:type="dxa" w:w="1728"/>
            <w:tcBorders>
              <w:top w:val="single" w:color="E5E7EB" w:sz="4"/>
              <w:left w:val="single" w:color="E5E7EB" w:sz="4"/>
              <w:bottom w:val="single" w:color="E5E7EB" w:sz="4"/>
              <w:right w:val="single" w:color="E5E7EB" w:sz="4"/>
            </w:tcBorders>
            <w:shd w:fill="FFFFFF"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color w:val="111827"/>
                <w:sz w:val="19"/>
                <w:szCs w:val="19"/>
              </w:rPr>
              <w:t xml:space="preserve">Total revenue = Unit Price × Order Quantity</w:t>
            </w:r>
          </w:p>
        </w:tc>
      </w:tr>
      <w:tr>
        <w:tc>
          <w:tcPr>
            <w:tcW w:type="dxa" w:w="2160"/>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Courier New" w:cs="Courier New" w:eastAsia="Courier New" w:hAnsi="Courier New"/>
                <w:b/>
                <w:bCs/>
                <w:color w:val="1B3A6B"/>
                <w:sz w:val="19"/>
                <w:szCs w:val="19"/>
              </w:rPr>
              <w:t xml:space="preserve">Profit</w:t>
            </w:r>
          </w:p>
        </w:tc>
        <w:tc>
          <w:tcPr>
            <w:tcW w:type="dxa" w:w="1728"/>
            <w:tcBorders>
              <w:top w:val="single" w:color="E5E7EB" w:sz="4"/>
              <w:left w:val="single" w:color="E5E7EB" w:sz="4"/>
              <w:bottom w:val="single" w:color="E5E7EB" w:sz="4"/>
              <w:right w:val="single" w:color="E5E7EB" w:sz="4"/>
            </w:tcBorders>
            <w:shd w:fill="F3F4F6" w:val="clear"/>
            <w:tcMar>
              <w:top w:type="dxa" w:w="70"/>
              <w:left w:type="dxa" w:w="100"/>
              <w:bottom w:type="dxa" w:w="70"/>
              <w:right w:type="dxa" w:w="80"/>
            </w:tcMar>
          </w:tcPr>
          <w:p>
            <w:r>
              <w:rPr>
                <w:rFonts w:ascii="Arial" w:cs="Arial" w:eastAsia="Arial" w:hAnsi="Arial"/>
                <w:color w:val="4B5563"/>
                <w:sz w:val="19"/>
                <w:szCs w:val="19"/>
              </w:rPr>
              <w:t xml:space="preserve">Measure</w:t>
            </w:r>
          </w:p>
        </w:tc>
        <w:tc>
          <w:tcPr>
            <w:tcW w:type="dxa" w:w="5472"/>
            <w:tcBorders>
              <w:top w:val="single" w:color="E5E7EB" w:sz="4"/>
              <w:left w:val="single" w:color="E5E7EB" w:sz="4"/>
              <w:bottom w:val="single" w:color="E5E7EB" w:sz="4"/>
              <w:right w:val="single" w:color="E5E7EB" w:sz="4"/>
            </w:tcBorders>
            <w:shd w:fill="F3F4F6" w:val="clear"/>
            <w:tcMar>
              <w:top w:type="dxa" w:w="70"/>
              <w:left w:type="dxa" w:w="120"/>
              <w:bottom w:type="dxa" w:w="70"/>
              <w:right w:type="dxa" w:w="80"/>
            </w:tcMar>
          </w:tcPr>
          <w:p>
            <w:r>
              <w:rPr>
                <w:rFonts w:ascii="Arial" w:cs="Arial" w:eastAsia="Arial" w:hAnsi="Arial"/>
                <w:color w:val="111827"/>
                <w:sz w:val="19"/>
                <w:szCs w:val="19"/>
              </w:rPr>
              <w:t xml:space="preserve">Net profit = Revenue − Cost</w:t>
            </w:r>
          </w:p>
        </w:tc>
      </w:tr>
    </w:tbl>
    <w:p>
      <w:pPr>
        <w:spacing w:after="100" w:before="0"/>
      </w:pPr>
    </w:p>
    <w:p>
      <w:pPr>
        <w:pStyle w:val="Heading3"/>
      </w:pPr>
      <w:r>
        <w:rPr>
          <w:rFonts w:ascii="Arial" w:cs="Arial" w:eastAsia="Arial" w:hAnsi="Arial"/>
          <w:b/>
          <w:color w:val="111827"/>
          <w:sz w:val="22"/>
          <w:szCs w:val="22"/>
        </w:rPr>
        <w:t>Sales Dashboard — Final Assembled View</w:t>
      </w:r>
    </w:p>
    <w:p>
      <w:pPr>
        <w:spacing w:after="90" w:before="60"/>
        <w:jc w:val="both"/>
      </w:pPr>
      <w:r>
        <w:rPr>
          <w:rFonts w:ascii="Arial" w:cs="Arial" w:eastAsia="Arial" w:hAnsi="Arial"/>
          <w:color w:val="111827"/>
          <w:sz w:val="21"/>
          <w:szCs w:val="21"/>
        </w:rPr>
        <w:t>The screenshot below shows the completed “Bike Sales Analysis” dashboard as assembled in Lessons 138–139. All nine worksheets are arranged on a single canvas with a unified orange-and-dark colour theme, controlled by a Year Parameter and a Country multi-select filter on the right-hand side. Every element updates simultaneously when the user changes the year or country selection.</w:t>
      </w:r>
    </w:p>
    <w:p>
      <w:pPr>
        <w:pBdr>
          <w:top w:val="single" w:color="1B3A6B" w:sz="4"/>
          <w:bottom w:val="single" w:color="1B3A6B" w:sz="4"/>
          <w:left w:val="single" w:color="1B3A6B" w:sz="4"/>
          <w:right w:val="single" w:color="1B3A6B" w:sz="4"/>
        </w:pBdr>
        <w:spacing w:after="0" w:before="100"/>
        <w:jc w:val="center"/>
      </w:pPr>
      <w:r>
        <w:drawing>
          <wp:inline xmlns:wp="http://schemas.openxmlformats.org/drawingml/2006/wordprocessingDrawing">
            <wp:extent cx="5760720" cy="2863266"/>
            <wp:docPr id="2" name="DashboardScreenshot"/>
            <a:graphic xmlns:a="http://schemas.openxmlformats.org/drawingml/2006/main">
              <a:graphicData uri="http://schemas.openxmlformats.org/drawingml/2006/picture">
                <pic:pic xmlns:pic="http://schemas.openxmlformats.org/drawingml/2006/picture">
                  <pic:nvPicPr>
                    <pic:cNvPr id="2" name="DashboardScreenshot"/>
                    <pic:cNvPicPr/>
                  </pic:nvPicPr>
                  <pic:blipFill>
                    <a:blip xmlns:r="http://schemas.openxmlformats.org/officeDocument/2006/relationships" r:embed="rId11"/>
                    <a:stretch>
                      <a:fillRect/>
                    </a:stretch>
                  </pic:blipFill>
                  <pic:spPr>
                    <a:xfrm>
                      <a:off x="0" y="0"/>
                      <a:ext cx="5760720" cy="2863266"/>
                    </a:xfrm>
                    <a:prstGeom prst="rect">
                      <a:avLst/>
                    </a:prstGeom>
                  </pic:spPr>
                </pic:pic>
              </a:graphicData>
            </a:graphic>
          </wp:inline>
        </w:drawing>
      </w:r>
    </w:p>
    <w:p>
      <w:pPr>
        <w:spacing w:after="140" w:before="60"/>
        <w:jc w:val="center"/>
      </w:pPr>
      <w:r>
        <w:rPr>
          <w:rFonts w:ascii="Arial" w:cs="Arial" w:eastAsia="Arial" w:hAnsi="Arial"/>
          <w:b/>
          <w:color w:val="1B3A6B"/>
          <w:sz w:val="19"/>
          <w:szCs w:val="19"/>
        </w:rPr>
        <w:t xml:space="preserve">Figure 1: </w:t>
      </w:r>
      <w:r>
        <w:rPr>
          <w:rFonts w:ascii="Arial" w:cs="Arial" w:eastAsia="Arial" w:hAnsi="Arial"/>
          <w:i/>
          <w:color w:val="4B5563"/>
          <w:sz w:val="19"/>
          <w:szCs w:val="19"/>
        </w:rPr>
        <w:t>Completed “Bike Sales Analysis” Sales Dashboard — all nine sheets assembled with Year Parameter (2011–2015), Country filter, and full interactivity</w:t>
      </w:r>
    </w:p>
    <w:p>
      <w:pPr>
        <w:pStyle w:val="Heading3"/>
        <w:spacing w:after="80" w:before="170"/>
      </w:pPr>
      <w:r>
        <w:rPr>
          <w:rFonts w:ascii="Arial" w:cs="Arial" w:eastAsia="Arial" w:hAnsi="Arial"/>
          <w:b/>
          <w:color w:val="111827"/>
          <w:sz w:val="22"/>
          <w:szCs w:val="22"/>
        </w:rPr>
        <w:t>Dashboard Overview — What You See</w:t>
      </w:r>
    </w:p>
    <w:p>
      <w:pPr>
        <w:spacing w:after="90" w:before="60"/>
        <w:jc w:val="both"/>
      </w:pPr>
      <w:r>
        <w:rPr>
          <w:rFonts w:ascii="Arial" w:cs="Arial" w:eastAsia="Arial" w:hAnsi="Arial"/>
          <w:color w:val="111827"/>
          <w:sz w:val="21"/>
          <w:szCs w:val="21"/>
        </w:rPr>
        <w:t xml:space="preserve">The completed Sales Dashboard is titled “Bike Sales Analysis” in large orange text at the top. It is divided into three main zones: a left KPI strip with profit, YoY change, revenue, and cost-by-category metrics; a central section with four charts (Top 10 Products, Stacked Bar by Sub-Category, Bubble Chart, and a Bar Chart by Gender); and a right-side control panel with the Year Parameter radio buttons and a Country multi-select filter. The orange-and-dark colour palette is consistent throughout.</w:t>
      </w:r>
    </w:p>
    <w:p>
      <w:pPr>
        <w:pStyle w:val="Heading3"/>
        <w:spacing w:after="80" w:before="170"/>
      </w:pPr>
      <w:r>
        <w:rPr>
          <w:rFonts w:ascii="Arial" w:cs="Arial" w:eastAsia="Arial" w:hAnsi="Arial"/>
          <w:b/>
          <w:color w:val="111827"/>
          <w:sz w:val="22"/>
          <w:szCs w:val="22"/>
        </w:rPr>
        <w:t>LEFT PANEL — KPI Metrics Strip</w:t>
      </w:r>
    </w:p>
    <w:p>
      <w:pPr>
        <w:spacing w:after="90" w:before="60"/>
        <w:jc w:val="both"/>
      </w:pPr>
      <w:r>
        <w:rPr>
          <w:rFonts w:ascii="Arial" w:cs="Arial" w:eastAsia="Arial" w:hAnsi="Arial"/>
          <w:color w:val="111827"/>
          <w:sz w:val="21"/>
          <w:szCs w:val="21"/>
        </w:rPr>
        <w:t xml:space="preserve">The left column contains four stacked KPI elements that summarise the key financial figures for the currently selected year and countries. These are powered by the calculated fields created in Lesson 135.</w:t>
      </w:r>
    </w:p>
    <w:p>
      <w:pPr>
        <w:spacing w:after="55" w:before="55"/>
        <w:ind w:left="144"/>
      </w:pPr>
      <w:r>
        <w:rPr>
          <w:rFonts w:ascii="Arial" w:cs="Arial" w:eastAsia="Arial" w:hAnsi="Arial"/>
          <w:b/>
          <w:color w:val="1B3A6B"/>
          <w:sz w:val="21"/>
          <w:szCs w:val="21"/>
        </w:rPr>
        <w:t xml:space="preserve">Profit Card:  </w:t>
      </w:r>
      <w:r>
        <w:rPr>
          <w:rFonts w:ascii="Arial" w:cs="Arial" w:eastAsia="Arial" w:hAnsi="Arial"/>
          <w:color w:val="111827"/>
          <w:sz w:val="21"/>
          <w:szCs w:val="21"/>
        </w:rPr>
        <w:t>$7,035,948 — total net profit (Revenue minus Cost) for the selected year (2016). Powered by the “Chosen Year Profit” calculated field: IF [Date-Year] = [Parameter 1] THEN [Profit] END</w:t>
      </w:r>
    </w:p>
    <w:p>
      <w:pPr>
        <w:spacing w:after="55" w:before="55"/>
        <w:ind w:left="144"/>
      </w:pPr>
      <w:r>
        <w:rPr>
          <w:rFonts w:ascii="Arial" w:cs="Arial" w:eastAsia="Arial" w:hAnsi="Arial"/>
          <w:b/>
          <w:color w:val="1B3A6B"/>
          <w:sz w:val="21"/>
          <w:szCs w:val="21"/>
        </w:rPr>
        <w:t xml:space="preserve">YoY% Change Card:  </w:t>
      </w:r>
      <w:r>
        <w:rPr>
          <w:rFonts w:ascii="Arial" w:cs="Arial" w:eastAsia="Arial" w:hAnsi="Arial"/>
          <w:color w:val="111827"/>
          <w:sz w:val="21"/>
          <w:szCs w:val="21"/>
        </w:rPr>
        <w:t>−6.5% — year-over-year percentage change vs. the previous year. Calculated as (Chosen Year Profit − Last Year Profit) / Last Year Profit. The negative value indicates profit declined by 6.5% compared to the prior year, displayed in red/orange to signal a decline</w:t>
      </w:r>
    </w:p>
    <w:p>
      <w:pPr>
        <w:spacing w:after="55" w:before="55"/>
        <w:ind w:left="144"/>
      </w:pPr>
      <w:r>
        <w:rPr>
          <w:rFonts w:ascii="Arial" w:cs="Arial" w:eastAsia="Arial" w:hAnsi="Arial"/>
          <w:b/>
          <w:color w:val="1B3A6B"/>
          <w:sz w:val="21"/>
          <w:szCs w:val="21"/>
        </w:rPr>
        <w:t xml:space="preserve">Revenue Card:  </w:t>
      </w:r>
      <w:r>
        <w:rPr>
          <w:rFonts w:ascii="Arial" w:cs="Arial" w:eastAsia="Arial" w:hAnsi="Arial"/>
          <w:color w:val="111827"/>
          <w:sz w:val="21"/>
          <w:szCs w:val="21"/>
        </w:rPr>
        <w:t>$17,713,385 — total gross revenue for the selected filters. Powered by SUM(Revenue) filtered through the Year Filter calculated field and the Country dimension filter</w:t>
      </w:r>
    </w:p>
    <w:p>
      <w:pPr>
        <w:spacing w:after="55" w:before="55"/>
        <w:ind w:left="144"/>
      </w:pPr>
      <w:r>
        <w:rPr>
          <w:rFonts w:ascii="Arial" w:cs="Arial" w:eastAsia="Arial" w:hAnsi="Arial"/>
          <w:b/>
          <w:color w:val="1B3A6B"/>
          <w:sz w:val="21"/>
          <w:szCs w:val="21"/>
        </w:rPr>
        <w:t xml:space="preserve">Cost Card by Category:  </w:t>
      </w:r>
      <w:r>
        <w:rPr>
          <w:rFonts w:ascii="Arial" w:cs="Arial" w:eastAsia="Arial" w:hAnsi="Arial"/>
          <w:color w:val="111827"/>
          <w:sz w:val="21"/>
          <w:szCs w:val="21"/>
        </w:rPr>
        <w:t>Accessories: $1,720,138 | Bikes: $7,507,005 | Clothing: $1,450,294 — the cost breakdown by Product Category. Built in Lesson 137 using SUM(Cost) split by Product Category on the Rows shelf</w:t>
      </w:r>
    </w:p>
    <w:p>
      <w:pPr>
        <w:spacing w:after="90" w:before="60"/>
        <w:jc w:val="both"/>
      </w:pPr>
      <w:r>
        <w:rPr>
          <w:rFonts w:ascii="Arial" w:cs="Arial" w:eastAsia="Arial" w:hAnsi="Arial"/>
          <w:color w:val="111827"/>
          <w:sz w:val="21"/>
          <w:szCs w:val="21"/>
        </w:rPr>
        <w:t xml:space="preserve">The orange line chart visible to the right of the Revenue label is the Revenue Line Chart (Lesson 136) — it shows the monthly revenue trend for the selected year, giving context to the single revenue figure.</w:t>
      </w:r>
    </w:p>
    <w:tbl>
      <w:tblPr>
        <w:tblW w:type="dxa" w:w="9360"/>
        <w:tblBorders>
          <w:top w:val="single" w:color="2563EB" w:sz="4"/>
          <w:bottom w:val="single" w:color="E5E7EB" w:sz="4"/>
          <w:left w:val="single" w:color="2563EB" w:sz="12"/>
          <w:right w:val="single" w:color="E5E7EB" w:sz="4"/>
          <w:insideH w:val="none"/>
          <w:insideV w:val="none"/>
        </w:tblBorders>
        <w:tblCellMar>
          <w:top w:type="dxa" w:w="90"/>
          <w:bottom w:type="dxa" w:w="90"/>
          <w:left w:type="dxa" w:w="216"/>
          <w:right w:type="dxa" w:w="173"/>
        </w:tblCellMar>
      </w:tblPr>
      <w:tblGrid>
        <w:gridCol w:w="9360"/>
      </w:tblGrid>
      <w:tr>
        <w:tc>
          <w:tcPr>
            <w:tcW w:type="dxa" w:w="9360"/>
            <w:shd w:fill="DBEAFE" w:val="clear"/>
          </w:tcPr>
          <w:p>
            <w:pPr>
              <w:spacing w:after="40" w:before="0"/>
            </w:pPr>
            <w:r>
              <w:rPr>
                <w:rFonts w:ascii="Arial" w:cs="Arial" w:eastAsia="Arial" w:hAnsi="Arial"/>
                <w:b/>
                <w:color w:val="1B3A6B"/>
                <w:sz w:val="21"/>
                <w:szCs w:val="21"/>
              </w:rPr>
              <w:t>💡 Key Insight — Left KPI Strip</w:t>
            </w:r>
          </w:p>
          <w:p>
            <w:pPr>
              <w:spacing w:after="0" w:before="0"/>
            </w:pPr>
            <w:r>
              <w:rPr>
                <w:rFonts w:ascii="Arial" w:cs="Arial" w:eastAsia="Arial" w:hAnsi="Arial"/>
                <w:i/>
                <w:color w:val="4B5563"/>
                <w:sz w:val="20"/>
                <w:szCs w:val="20"/>
              </w:rPr>
              <w:t>Bikes account for $7.5M of the $10.7M total cost — 70% of all costs. Despite this, Bikes also generate the most revenue, suggesting the business must carefully manage bike margins. The −6.5% YoY decline warrants investigation into whether it is driven by volume drop or price compression.</w:t>
            </w:r>
          </w:p>
        </w:tc>
      </w:tr>
    </w:tbl>
    <w:p>
      <w:pPr>
        <w:spacing w:after="100" w:before="0"/>
      </w:pPr>
    </w:p>
    <w:p>
      <w:pPr>
        <w:pStyle w:val="Heading3"/>
        <w:spacing w:after="80" w:before="170"/>
      </w:pPr>
      <w:r>
        <w:rPr>
          <w:rFonts w:ascii="Arial" w:cs="Arial" w:eastAsia="Arial" w:hAnsi="Arial"/>
          <w:b/>
          <w:color w:val="111827"/>
          <w:sz w:val="22"/>
          <w:szCs w:val="22"/>
        </w:rPr>
        <w:t>TOP-CENTER — Top 10 Products Sold by Quantity</w:t>
      </w:r>
    </w:p>
    <w:p>
      <w:pPr>
        <w:spacing w:after="90" w:before="60"/>
        <w:jc w:val="both"/>
      </w:pPr>
      <w:r>
        <w:rPr>
          <w:rFonts w:ascii="Arial" w:cs="Arial" w:eastAsia="Arial" w:hAnsi="Arial"/>
          <w:color w:val="111827"/>
          <w:sz w:val="21"/>
          <w:szCs w:val="21"/>
        </w:rPr>
        <w:t xml:space="preserve">This horizontal bar chart (built in Lesson 131) displays the top 10 individual products ranked by Order Quantity. A TopN filter limits the view to exactly 10 products, sorted descending so the best-seller appears at the top.</w:t>
      </w:r>
    </w:p>
    <w:p>
      <w:pPr>
        <w:numPr>
          <w:ilvl w:val="0"/>
          <w:numId w:val="1"/>
        </w:numPr>
        <w:spacing w:after="55" w:before="40"/>
      </w:pPr>
      <w:r>
        <w:rPr>
          <w:rFonts w:ascii="Arial" w:cs="Arial" w:eastAsia="Arial" w:hAnsi="Arial"/>
          <w:color w:val="111827"/>
          <w:sz w:val="21"/>
          <w:szCs w:val="21"/>
        </w:rPr>
        <w:t xml:space="preserve">Water Bottle — 30 oz leads with 47K units — the single highest-volume product in the catalogue</w:t>
      </w:r>
    </w:p>
    <w:p>
      <w:pPr>
        <w:numPr>
          <w:ilvl w:val="0"/>
          <w:numId w:val="1"/>
        </w:numPr>
        <w:spacing w:after="55" w:before="40"/>
      </w:pPr>
      <w:r>
        <w:rPr>
          <w:rFonts w:ascii="Arial" w:cs="Arial" w:eastAsia="Arial" w:hAnsi="Arial"/>
          <w:color w:val="111827"/>
          <w:sz w:val="21"/>
          <w:szCs w:val="21"/>
        </w:rPr>
        <w:t xml:space="preserve">Patch Kit / 8 Patches: 44K units — accessories dominate by volume due to low unit cost and high repeat purchase rate</w:t>
      </w:r>
    </w:p>
    <w:p>
      <w:pPr>
        <w:numPr>
          <w:ilvl w:val="0"/>
          <w:numId w:val="1"/>
        </w:numPr>
        <w:spacing w:after="55" w:before="40"/>
      </w:pPr>
      <w:r>
        <w:rPr>
          <w:rFonts w:ascii="Arial" w:cs="Arial" w:eastAsia="Arial" w:hAnsi="Arial"/>
          <w:color w:val="111827"/>
          <w:sz w:val="21"/>
          <w:szCs w:val="21"/>
        </w:rPr>
        <w:t xml:space="preserve">Mountain Tyre Tube: 29K units — shown highlighted in a darker orange, indicating this is the currently selected or hovered item on the dashboard</w:t>
      </w:r>
    </w:p>
    <w:p>
      <w:pPr>
        <w:numPr>
          <w:ilvl w:val="0"/>
          <w:numId w:val="1"/>
        </w:numPr>
        <w:spacing w:after="55" w:before="40"/>
      </w:pPr>
      <w:r>
        <w:rPr>
          <w:rFonts w:ascii="Arial" w:cs="Arial" w:eastAsia="Arial" w:hAnsi="Arial"/>
          <w:color w:val="111827"/>
          <w:sz w:val="21"/>
          <w:szCs w:val="21"/>
        </w:rPr>
        <w:t xml:space="preserve">AWC Logo Cap, Sport-100 Helmet, Road Tyre Tube, Fender Set — each appearing in the 20–28K unit range</w:t>
      </w:r>
    </w:p>
    <w:p>
      <w:pPr>
        <w:spacing w:after="90" w:before="60"/>
        <w:jc w:val="both"/>
      </w:pPr>
      <w:r>
        <w:rPr>
          <w:rFonts w:ascii="Arial" w:cs="Arial" w:eastAsia="Arial" w:hAnsi="Arial"/>
          <w:color w:val="111827"/>
          <w:sz w:val="21"/>
          <w:szCs w:val="21"/>
        </w:rPr>
        <w:t xml:space="preserve">Note that the top sellers by quantity are all low-cost Accessories rather than Bikes, which sell far fewer units but at a much higher unit price and margin. This quantity vs. value trade-off is a key business dynamic visible when cross-referencing this chart with the Cost Card.</w:t>
      </w:r>
    </w:p>
    <w:tbl>
      <w:tblPr>
        <w:tblW w:type="dxa" w:w="9360"/>
        <w:tblBorders>
          <w:top w:val="single" w:color="2563EB" w:sz="4"/>
          <w:bottom w:val="single" w:color="E5E7EB" w:sz="4"/>
          <w:left w:val="single" w:color="2563EB" w:sz="12"/>
          <w:right w:val="single" w:color="E5E7EB" w:sz="4"/>
          <w:insideH w:val="none"/>
          <w:insideV w:val="none"/>
        </w:tblBorders>
        <w:tblCellMar>
          <w:top w:type="dxa" w:w="90"/>
          <w:bottom w:type="dxa" w:w="90"/>
          <w:left w:type="dxa" w:w="216"/>
          <w:right w:type="dxa" w:w="173"/>
        </w:tblCellMar>
      </w:tblPr>
      <w:tblGrid>
        <w:gridCol w:w="9360"/>
      </w:tblGrid>
      <w:tr>
        <w:tc>
          <w:tcPr>
            <w:tcW w:type="dxa" w:w="9360"/>
            <w:shd w:fill="DBEAFE" w:val="clear"/>
          </w:tcPr>
          <w:p>
            <w:pPr>
              <w:spacing w:after="40" w:before="0"/>
            </w:pPr>
            <w:r>
              <w:rPr>
                <w:rFonts w:ascii="Arial" w:cs="Arial" w:eastAsia="Arial" w:hAnsi="Arial"/>
                <w:b/>
                <w:color w:val="1B3A6B"/>
                <w:sz w:val="21"/>
                <w:szCs w:val="21"/>
              </w:rPr>
              <w:t>💡 Key Insight — Top 10 Products</w:t>
            </w:r>
          </w:p>
          <w:p>
            <w:pPr>
              <w:spacing w:after="0" w:before="0"/>
            </w:pPr>
            <w:r>
              <w:rPr>
                <w:rFonts w:ascii="Arial" w:cs="Arial" w:eastAsia="Arial" w:hAnsi="Arial"/>
                <w:i/>
                <w:color w:val="4B5563"/>
                <w:sz w:val="20"/>
                <w:szCs w:val="20"/>
              </w:rPr>
              <w:t>Accessories dominate the top 10 by volume, with Water Bottles and Patch Kits each exceeding 44K units. Bikes do not appear here because they sell in much lower quantities. This tells management that while Bikes drive most revenue, Accessories drive transaction volume — both product lines are strategically important for different reasons.</w:t>
            </w:r>
          </w:p>
        </w:tc>
      </w:tr>
    </w:tbl>
    <w:p>
      <w:pPr>
        <w:spacing w:after="100" w:before="0"/>
      </w:pPr>
    </w:p>
    <w:p>
      <w:pPr>
        <w:pStyle w:val="Heading3"/>
        <w:spacing w:after="80" w:before="170"/>
      </w:pPr>
      <w:r>
        <w:rPr>
          <w:rFonts w:ascii="Arial" w:cs="Arial" w:eastAsia="Arial" w:hAnsi="Arial"/>
          <w:b/>
          <w:color w:val="111827"/>
          <w:sz w:val="22"/>
          <w:szCs w:val="22"/>
        </w:rPr>
        <w:t>TOP-RIGHT — Product Category Sales by Gender</w:t>
      </w:r>
    </w:p>
    <w:p>
      <w:pPr>
        <w:spacing w:after="90" w:before="60"/>
        <w:jc w:val="both"/>
      </w:pPr>
      <w:r>
        <w:rPr>
          <w:rFonts w:ascii="Arial" w:cs="Arial" w:eastAsia="Arial" w:hAnsi="Arial"/>
          <w:color w:val="111827"/>
          <w:sz w:val="21"/>
          <w:szCs w:val="21"/>
        </w:rPr>
        <w:t xml:space="preserve">This clustered bar chart (created as part of the Sub-Category analysis in Lesson 132) shows Profit by Sub-Category with Male (M, dark orange) and Female (F, light orange) segments side by side. The Y-axis shows Profit from $0M to $1M+, and the X-axis lists sub-categories: Road Bikes, Touring Bikes, Shorts, Fenders, Hydration Packs, Vests, Bike Stands, Socks.</w:t>
      </w:r>
    </w:p>
    <w:p>
      <w:pPr>
        <w:numPr>
          <w:ilvl w:val="0"/>
          <w:numId w:val="1"/>
        </w:numPr>
        <w:spacing w:after="55" w:before="40"/>
      </w:pPr>
      <w:r>
        <w:rPr>
          <w:rFonts w:ascii="Arial" w:cs="Arial" w:eastAsia="Arial" w:hAnsi="Arial"/>
          <w:color w:val="111827"/>
          <w:sz w:val="21"/>
          <w:szCs w:val="21"/>
        </w:rPr>
        <w:t xml:space="preserve">Road Bikes generate the highest profit per sub-category — Male customers produce significantly more revenue than Female in this sub-category, visible from the taller dark orange bar</w:t>
      </w:r>
    </w:p>
    <w:p>
      <w:pPr>
        <w:numPr>
          <w:ilvl w:val="0"/>
          <w:numId w:val="1"/>
        </w:numPr>
        <w:spacing w:after="55" w:before="40"/>
      </w:pPr>
      <w:r>
        <w:rPr>
          <w:rFonts w:ascii="Arial" w:cs="Arial" w:eastAsia="Arial" w:hAnsi="Arial"/>
          <w:color w:val="111827"/>
          <w:sz w:val="21"/>
          <w:szCs w:val="21"/>
        </w:rPr>
        <w:t xml:space="preserve">Touring Bikes is the second-highest profit sub-category, with a more balanced Male/Female split</w:t>
      </w:r>
    </w:p>
    <w:p>
      <w:pPr>
        <w:numPr>
          <w:ilvl w:val="0"/>
          <w:numId w:val="1"/>
        </w:numPr>
        <w:spacing w:after="55" w:before="40"/>
      </w:pPr>
      <w:r>
        <w:rPr>
          <w:rFonts w:ascii="Arial" w:cs="Arial" w:eastAsia="Arial" w:hAnsi="Arial"/>
          <w:color w:val="111827"/>
          <w:sz w:val="21"/>
          <w:szCs w:val="21"/>
        </w:rPr>
        <w:t xml:space="preserve">Clothing sub-categories (Shorts, Vests) show much lower profit per category compared to Bikes</w:t>
      </w:r>
    </w:p>
    <w:p>
      <w:pPr>
        <w:numPr>
          <w:ilvl w:val="0"/>
          <w:numId w:val="1"/>
        </w:numPr>
        <w:spacing w:after="55" w:before="40"/>
      </w:pPr>
      <w:r>
        <w:rPr>
          <w:rFonts w:ascii="Arial" w:cs="Arial" w:eastAsia="Arial" w:hAnsi="Arial"/>
          <w:color w:val="111827"/>
          <w:sz w:val="21"/>
          <w:szCs w:val="21"/>
        </w:rPr>
        <w:t xml:space="preserve">Fenders and Bike Stands show near-zero profit on this chart — very low-margin or low-volume accessories</w:t>
      </w:r>
    </w:p>
    <w:tbl>
      <w:tblPr>
        <w:tblW w:type="dxa" w:w="9360"/>
        <w:tblBorders>
          <w:top w:val="single" w:color="2563EB" w:sz="4"/>
          <w:bottom w:val="single" w:color="E5E7EB" w:sz="4"/>
          <w:left w:val="single" w:color="2563EB" w:sz="12"/>
          <w:right w:val="single" w:color="E5E7EB" w:sz="4"/>
          <w:insideH w:val="none"/>
          <w:insideV w:val="none"/>
        </w:tblBorders>
        <w:tblCellMar>
          <w:top w:type="dxa" w:w="90"/>
          <w:bottom w:type="dxa" w:w="90"/>
          <w:left w:type="dxa" w:w="216"/>
          <w:right w:type="dxa" w:w="173"/>
        </w:tblCellMar>
      </w:tblPr>
      <w:tblGrid>
        <w:gridCol w:w="9360"/>
      </w:tblGrid>
      <w:tr>
        <w:tc>
          <w:tcPr>
            <w:tcW w:type="dxa" w:w="9360"/>
            <w:shd w:fill="DBEAFE" w:val="clear"/>
          </w:tcPr>
          <w:p>
            <w:pPr>
              <w:spacing w:after="40" w:before="0"/>
            </w:pPr>
            <w:r>
              <w:rPr>
                <w:rFonts w:ascii="Arial" w:cs="Arial" w:eastAsia="Arial" w:hAnsi="Arial"/>
                <w:b/>
                <w:color w:val="1B3A6B"/>
                <w:sz w:val="21"/>
                <w:szCs w:val="21"/>
              </w:rPr>
              <w:t>💡 Key Insight — Gender &amp; Sub-Category</w:t>
            </w:r>
          </w:p>
          <w:p>
            <w:pPr>
              <w:spacing w:after="0" w:before="0"/>
            </w:pPr>
            <w:r>
              <w:rPr>
                <w:rFonts w:ascii="Arial" w:cs="Arial" w:eastAsia="Arial" w:hAnsi="Arial"/>
                <w:i/>
                <w:color w:val="4B5563"/>
                <w:sz w:val="20"/>
                <w:szCs w:val="20"/>
              </w:rPr>
              <w:t>Male customers drive higher profits in Bike sub-categories while Female spending is more evenly distributed. Marketing campaigns targeting male cyclists for Road and Touring Bikes and cross-selling accessories to both genders could maximise overall basket value.</w:t>
            </w:r>
          </w:p>
        </w:tc>
      </w:tr>
    </w:tbl>
    <w:p>
      <w:pPr>
        <w:spacing w:after="100" w:before="0"/>
      </w:pPr>
    </w:p>
    <w:p>
      <w:pPr>
        <w:pStyle w:val="Heading3"/>
        <w:spacing w:after="80" w:before="170"/>
      </w:pPr>
      <w:r>
        <w:rPr>
          <w:rFonts w:ascii="Arial" w:cs="Arial" w:eastAsia="Arial" w:hAnsi="Arial"/>
          <w:b/>
          <w:color w:val="111827"/>
          <w:sz w:val="22"/>
          <w:szCs w:val="22"/>
        </w:rPr>
        <w:t>BOTTOM-CENTER LEFT — Sales by Age Group and Product Sub-Category</w:t>
      </w:r>
    </w:p>
    <w:p>
      <w:pPr>
        <w:spacing w:after="90" w:before="60"/>
        <w:jc w:val="both"/>
      </w:pPr>
      <w:r>
        <w:rPr>
          <w:rFonts w:ascii="Arial" w:cs="Arial" w:eastAsia="Arial" w:hAnsi="Arial"/>
          <w:color w:val="111827"/>
          <w:sz w:val="21"/>
          <w:szCs w:val="21"/>
        </w:rPr>
        <w:t xml:space="preserve">This packed bubble chart (Lesson 133) encodes two dimensions simultaneously: bubble colour represents the Age Group (Adults in dark red-orange, Seniors in medium orange, Young Adults in light orange, Youth in very light orange/tan), and bubble size represents the total sales or revenue for that age group and sub-category combination.</w:t>
      </w:r>
    </w:p>
    <w:p>
      <w:pPr>
        <w:numPr>
          <w:ilvl w:val="0"/>
          <w:numId w:val="1"/>
        </w:numPr>
        <w:spacing w:after="55" w:before="40"/>
      </w:pPr>
      <w:r>
        <w:rPr>
          <w:rFonts w:ascii="Arial" w:cs="Arial" w:eastAsia="Arial" w:hAnsi="Arial"/>
          <w:color w:val="111827"/>
          <w:sz w:val="21"/>
          <w:szCs w:val="21"/>
        </w:rPr>
        <w:t xml:space="preserve">Adults (dark red-orange) produce the largest bubbles — the dominant purchasing age group across all sub-categories</w:t>
      </w:r>
    </w:p>
    <w:p>
      <w:pPr>
        <w:numPr>
          <w:ilvl w:val="0"/>
          <w:numId w:val="1"/>
        </w:numPr>
        <w:spacing w:after="55" w:before="40"/>
      </w:pPr>
      <w:r>
        <w:rPr>
          <w:rFonts w:ascii="Arial" w:cs="Arial" w:eastAsia="Arial" w:hAnsi="Arial"/>
          <w:color w:val="111827"/>
          <w:sz w:val="21"/>
          <w:szCs w:val="21"/>
        </w:rPr>
        <w:t xml:space="preserve">Seniors (medium orange) form a prominent cluster of medium-sized bubbles, indicating significant purchasing power</w:t>
      </w:r>
    </w:p>
    <w:p>
      <w:pPr>
        <w:numPr>
          <w:ilvl w:val="0"/>
          <w:numId w:val="1"/>
        </w:numPr>
        <w:spacing w:after="55" w:before="40"/>
      </w:pPr>
      <w:r>
        <w:rPr>
          <w:rFonts w:ascii="Arial" w:cs="Arial" w:eastAsia="Arial" w:hAnsi="Arial"/>
          <w:color w:val="111827"/>
          <w:sz w:val="21"/>
          <w:szCs w:val="21"/>
        </w:rPr>
        <w:t xml:space="preserve">Young Adults (light orange) generate a spread of smaller bubbles across multiple sub-categories</w:t>
      </w:r>
    </w:p>
    <w:p>
      <w:pPr>
        <w:numPr>
          <w:ilvl w:val="0"/>
          <w:numId w:val="1"/>
        </w:numPr>
        <w:spacing w:after="55" w:before="40"/>
      </w:pPr>
      <w:r>
        <w:rPr>
          <w:rFonts w:ascii="Arial" w:cs="Arial" w:eastAsia="Arial" w:hAnsi="Arial"/>
          <w:color w:val="111827"/>
          <w:sz w:val="21"/>
          <w:szCs w:val="21"/>
        </w:rPr>
        <w:t xml:space="preserve">Youth (lightest orange) appear as small bubbles concentrated in lower-value sub-categories</w:t>
      </w:r>
    </w:p>
    <w:p>
      <w:pPr>
        <w:spacing w:after="90" w:before="60"/>
        <w:jc w:val="both"/>
      </w:pPr>
      <w:r>
        <w:rPr>
          <w:rFonts w:ascii="Arial" w:cs="Arial" w:eastAsia="Arial" w:hAnsi="Arial"/>
          <w:color w:val="111827"/>
          <w:sz w:val="21"/>
          <w:szCs w:val="21"/>
        </w:rPr>
        <w:t xml:space="preserve">The density of Adult bubbles in the centre of the chart visually confirms that this age segment is the sales engine of the business. The range of bubble sizes within each age group also reveals that each demographic has a spread of sub-category preferences rather than concentrating on a single product type.</w:t>
      </w:r>
    </w:p>
    <w:tbl>
      <w:tblPr>
        <w:tblW w:type="dxa" w:w="9360"/>
        <w:tblBorders>
          <w:top w:val="single" w:color="2563EB" w:sz="4"/>
          <w:bottom w:val="single" w:color="E5E7EB" w:sz="4"/>
          <w:left w:val="single" w:color="2563EB" w:sz="12"/>
          <w:right w:val="single" w:color="E5E7EB" w:sz="4"/>
          <w:insideH w:val="none"/>
          <w:insideV w:val="none"/>
        </w:tblBorders>
        <w:tblCellMar>
          <w:top w:type="dxa" w:w="90"/>
          <w:bottom w:type="dxa" w:w="90"/>
          <w:left w:type="dxa" w:w="216"/>
          <w:right w:type="dxa" w:w="173"/>
        </w:tblCellMar>
      </w:tblPr>
      <w:tblGrid>
        <w:gridCol w:w="9360"/>
      </w:tblGrid>
      <w:tr>
        <w:tc>
          <w:tcPr>
            <w:tcW w:type="dxa" w:w="9360"/>
            <w:shd w:fill="DBEAFE" w:val="clear"/>
          </w:tcPr>
          <w:p>
            <w:pPr>
              <w:spacing w:after="40" w:before="0"/>
            </w:pPr>
            <w:r>
              <w:rPr>
                <w:rFonts w:ascii="Arial" w:cs="Arial" w:eastAsia="Arial" w:hAnsi="Arial"/>
                <w:b/>
                <w:color w:val="1B3A6B"/>
                <w:sz w:val="21"/>
                <w:szCs w:val="21"/>
              </w:rPr>
              <w:t>💡 Key Insight — Age Group Bubble Chart</w:t>
            </w:r>
          </w:p>
          <w:p>
            <w:pPr>
              <w:spacing w:after="0" w:before="0"/>
            </w:pPr>
            <w:r>
              <w:rPr>
                <w:rFonts w:ascii="Arial" w:cs="Arial" w:eastAsia="Arial" w:hAnsi="Arial"/>
                <w:i/>
                <w:color w:val="4B5563"/>
                <w:sz w:val="20"/>
                <w:szCs w:val="20"/>
              </w:rPr>
              <w:t>Adults are the primary revenue driver across nearly every sub-category. Marketing, inventory planning, and product development should be primarily calibrated for adult cyclists aged ~35–64. Youth and Young Adults represent growth opportunity segments where targeted entry-level products could increase future lifetime value.</w:t>
            </w:r>
          </w:p>
        </w:tc>
      </w:tr>
    </w:tbl>
    <w:p>
      <w:pPr>
        <w:spacing w:after="100" w:before="0"/>
      </w:pPr>
    </w:p>
    <w:p>
      <w:pPr>
        <w:pStyle w:val="Heading3"/>
        <w:spacing w:after="80" w:before="170"/>
      </w:pPr>
      <w:r>
        <w:rPr>
          <w:rFonts w:ascii="Arial" w:cs="Arial" w:eastAsia="Arial" w:hAnsi="Arial"/>
          <w:b/>
          <w:color w:val="111827"/>
          <w:sz w:val="22"/>
          <w:szCs w:val="22"/>
        </w:rPr>
        <w:t>BOTTOM-CENTER RIGHT — Sales by Country (Geographic Map)</w:t>
      </w:r>
    </w:p>
    <w:p>
      <w:pPr>
        <w:spacing w:after="90" w:before="60"/>
        <w:jc w:val="both"/>
      </w:pPr>
      <w:r>
        <w:rPr>
          <w:rFonts w:ascii="Arial" w:cs="Arial" w:eastAsia="Arial" w:hAnsi="Arial"/>
          <w:color w:val="111827"/>
          <w:sz w:val="21"/>
          <w:szCs w:val="21"/>
        </w:rPr>
        <w:t xml:space="preserve">The geographic map (Lesson 134, Mark type: Circle/Bubble) uses Mapbox/OpenStreetMap as the base layer. Each circle is positioned at the country centroid and sized by total sales or profit for that country under the currently selected filters.</w:t>
      </w:r>
    </w:p>
    <w:p>
      <w:pPr>
        <w:numPr>
          <w:ilvl w:val="0"/>
          <w:numId w:val="1"/>
        </w:numPr>
        <w:spacing w:after="55" w:before="40"/>
      </w:pPr>
      <w:r>
        <w:rPr>
          <w:rFonts w:ascii="Arial" w:cs="Arial" w:eastAsia="Arial" w:hAnsi="Arial"/>
          <w:color w:val="111827"/>
          <w:sz w:val="21"/>
          <w:szCs w:val="21"/>
        </w:rPr>
        <w:t xml:space="preserve">The largest bubble appears over North America (United States) — by far the highest-volume market in the dataset</w:t>
      </w:r>
    </w:p>
    <w:p>
      <w:pPr>
        <w:numPr>
          <w:ilvl w:val="0"/>
          <w:numId w:val="1"/>
        </w:numPr>
        <w:spacing w:after="55" w:before="40"/>
      </w:pPr>
      <w:r>
        <w:rPr>
          <w:rFonts w:ascii="Arial" w:cs="Arial" w:eastAsia="Arial" w:hAnsi="Arial"/>
          <w:color w:val="111827"/>
          <w:sz w:val="21"/>
          <w:szCs w:val="21"/>
        </w:rPr>
        <w:t xml:space="preserve">A medium-sized bubble appears over Australia — a significant market relative to its population size, suggesting strong brand penetration</w:t>
      </w:r>
    </w:p>
    <w:p>
      <w:pPr>
        <w:numPr>
          <w:ilvl w:val="0"/>
          <w:numId w:val="1"/>
        </w:numPr>
        <w:spacing w:after="55" w:before="40"/>
      </w:pPr>
      <w:r>
        <w:rPr>
          <w:rFonts w:ascii="Arial" w:cs="Arial" w:eastAsia="Arial" w:hAnsi="Arial"/>
          <w:color w:val="111827"/>
          <w:sz w:val="21"/>
          <w:szCs w:val="21"/>
        </w:rPr>
        <w:t xml:space="preserve">Smaller bubbles are visible over Europe (United Kingdom, France, Germany, Canada) — contributing but not dominant markets</w:t>
      </w:r>
    </w:p>
    <w:p>
      <w:pPr>
        <w:spacing w:after="90" w:before="60"/>
        <w:jc w:val="both"/>
      </w:pPr>
      <w:r>
        <w:rPr>
          <w:rFonts w:ascii="Arial" w:cs="Arial" w:eastAsia="Arial" w:hAnsi="Arial"/>
          <w:color w:val="111827"/>
          <w:sz w:val="21"/>
          <w:szCs w:val="21"/>
        </w:rPr>
        <w:t xml:space="preserve">The Country filter on the right panel (showing All, Australia, Canada, France, Germany checked) connects to this map, enabling users to isolate specific markets and see how removing a country affects all KPIs and charts simultaneously through the global filter action.</w:t>
      </w:r>
    </w:p>
    <w:tbl>
      <w:tblPr>
        <w:tblW w:type="dxa" w:w="9360"/>
        <w:tblBorders>
          <w:top w:val="single" w:color="2563EB" w:sz="4"/>
          <w:bottom w:val="single" w:color="E5E7EB" w:sz="4"/>
          <w:left w:val="single" w:color="2563EB" w:sz="12"/>
          <w:right w:val="single" w:color="E5E7EB" w:sz="4"/>
          <w:insideH w:val="none"/>
          <w:insideV w:val="none"/>
        </w:tblBorders>
        <w:tblCellMar>
          <w:top w:type="dxa" w:w="90"/>
          <w:bottom w:type="dxa" w:w="90"/>
          <w:left w:type="dxa" w:w="216"/>
          <w:right w:type="dxa" w:w="173"/>
        </w:tblCellMar>
      </w:tblPr>
      <w:tblGrid>
        <w:gridCol w:w="9360"/>
      </w:tblGrid>
      <w:tr>
        <w:tc>
          <w:tcPr>
            <w:tcW w:type="dxa" w:w="9360"/>
            <w:shd w:fill="DBEAFE" w:val="clear"/>
          </w:tcPr>
          <w:p>
            <w:pPr>
              <w:spacing w:after="40" w:before="0"/>
            </w:pPr>
            <w:r>
              <w:rPr>
                <w:rFonts w:ascii="Arial" w:cs="Arial" w:eastAsia="Arial" w:hAnsi="Arial"/>
                <w:b/>
                <w:color w:val="1B3A6B"/>
                <w:sz w:val="21"/>
                <w:szCs w:val="21"/>
              </w:rPr>
              <w:t>💡 Key Insight — Geographic Map</w:t>
            </w:r>
          </w:p>
          <w:p>
            <w:pPr>
              <w:spacing w:after="0" w:before="0"/>
            </w:pPr>
            <w:r>
              <w:rPr>
                <w:rFonts w:ascii="Arial" w:cs="Arial" w:eastAsia="Arial" w:hAnsi="Arial"/>
                <w:i/>
                <w:color w:val="4B5563"/>
                <w:sz w:val="20"/>
                <w:szCs w:val="20"/>
              </w:rPr>
              <w:t>The United States dominates sales volume. Australia significantly outperforms other non-US markets relative to population. European markets (UK, France, Germany) show more modest performance, suggesting either lower market penetration or higher competition. Geographic diversification risk is high given US dependence.</w:t>
            </w:r>
          </w:p>
        </w:tc>
      </w:tr>
    </w:tbl>
    <w:p>
      <w:pPr>
        <w:spacing w:after="100" w:before="0"/>
      </w:pPr>
    </w:p>
    <w:p>
      <w:pPr>
        <w:pStyle w:val="Heading3"/>
        <w:spacing w:after="80" w:before="170"/>
      </w:pPr>
      <w:r>
        <w:rPr>
          <w:rFonts w:ascii="Arial" w:cs="Arial" w:eastAsia="Arial" w:hAnsi="Arial"/>
          <w:b/>
          <w:color w:val="111827"/>
          <w:sz w:val="22"/>
          <w:szCs w:val="22"/>
        </w:rPr>
        <w:t>RIGHT PANEL — Year Parameter &amp; Country Filter</w:t>
      </w:r>
    </w:p>
    <w:p>
      <w:pPr>
        <w:spacing w:after="55" w:before="55"/>
        <w:ind w:left="144"/>
      </w:pPr>
      <w:r>
        <w:rPr>
          <w:rFonts w:ascii="Arial" w:cs="Arial" w:eastAsia="Arial" w:hAnsi="Arial"/>
          <w:b/>
          <w:color w:val="1B3A6B"/>
          <w:sz w:val="21"/>
          <w:szCs w:val="21"/>
        </w:rPr>
        <w:t xml:space="preserve">Year Parameter (Radio Buttons):  </w:t>
      </w:r>
      <w:r>
        <w:rPr>
          <w:rFonts w:ascii="Arial" w:cs="Arial" w:eastAsia="Arial" w:hAnsi="Arial"/>
          <w:color w:val="111827"/>
          <w:sz w:val="21"/>
          <w:szCs w:val="21"/>
        </w:rPr>
        <w:t>Values: 2011, 2012, 2013, 2014, 2015 (with 2015 partially visible). Currently set to 2016 (implied by the KPI values shown). Selecting a different year instantly recalculates all KPI cards, bars, bubbles, and the map via the Year Filter calculated field</w:t>
      </w:r>
    </w:p>
    <w:p>
      <w:pPr>
        <w:spacing w:after="55" w:before="55"/>
        <w:ind w:left="144"/>
      </w:pPr>
      <w:r>
        <w:rPr>
          <w:rFonts w:ascii="Arial" w:cs="Arial" w:eastAsia="Arial" w:hAnsi="Arial"/>
          <w:b/>
          <w:color w:val="1B3A6B"/>
          <w:sz w:val="21"/>
          <w:szCs w:val="21"/>
        </w:rPr>
        <w:t xml:space="preserve">Country Filter (Multi-Select Checkboxes):  </w:t>
      </w:r>
      <w:r>
        <w:rPr>
          <w:rFonts w:ascii="Arial" w:cs="Arial" w:eastAsia="Arial" w:hAnsi="Arial"/>
          <w:color w:val="111827"/>
          <w:sz w:val="21"/>
          <w:szCs w:val="21"/>
        </w:rPr>
        <w:t>(All), Australia, Canada, France, Germany checked — this is a dimension filter on the Country field applied globally to all worksheets on the dashboard, allowing geographic drill-down without rebuilding any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02</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Data Connection &amp; Source Configuration</w:t>
            </w:r>
          </w:p>
          <w:p>
            <w:pPr>
              <w:spacing w:after="0" w:before="0"/>
            </w:pPr>
            <w:r>
              <w:rPr>
                <w:rFonts w:ascii="Arial" w:cs="Arial" w:eastAsia="Arial" w:hAnsi="Arial"/>
                <w:i/>
                <w:iCs/>
                <w:color w:val="4B5563"/>
                <w:sz w:val="19"/>
                <w:szCs w:val="19"/>
              </w:rPr>
              <w:t xml:space="preserve">Lesson 130  ·  Connect Tableau Desktop to the bike sales dataset</w:t>
            </w:r>
          </w:p>
        </w:tc>
      </w:tr>
    </w:tbl>
    <w:p>
      <w:pPr>
        <w:spacing w:after="120" w:before="0"/>
      </w:pPr>
    </w:p>
    <w:p>
      <w:pPr>
        <w:spacing w:after="90" w:before="60"/>
        <w:jc w:val="both"/>
      </w:pPr>
      <w:r>
        <w:rPr>
          <w:rFonts w:ascii="Arial" w:cs="Arial" w:eastAsia="Arial" w:hAnsi="Arial"/>
          <w:color w:val="111827"/>
          <w:sz w:val="21"/>
          <w:szCs w:val="21"/>
        </w:rPr>
        <w:t xml:space="preserve">The first step in building any Tableau dashboard is establishing a reliable connection to the data source. In this project, Tableau Desktop was connected to the Sales dataset, which was subsequently embedded in the final .twbx packaged workbook file.</w:t>
      </w:r>
    </w:p>
    <w:p>
      <w:pPr>
        <w:spacing w:after="80" w:before="0"/>
      </w:pPr>
    </w:p>
    <w:p>
      <w:pPr>
        <w:pStyle w:val="Heading3"/>
      </w:pPr>
      <w:r>
        <w:rPr>
          <w:rFonts w:ascii="Arial" w:cs="Arial" w:eastAsia="Arial" w:hAnsi="Arial"/>
          <w:b/>
          <w:bCs/>
          <w:color w:val="111827"/>
          <w:sz w:val="22"/>
          <w:szCs w:val="22"/>
        </w:rPr>
        <w:t xml:space="preserve">Connection Process</w:t>
      </w:r>
    </w:p>
    <w:p>
      <w:pPr>
        <w:pStyle w:val="ListParagraph"/>
        <w:numPr>
          <w:ilvl w:val="0"/>
          <w:numId w:val="2"/>
        </w:numPr>
        <w:spacing w:after="55" w:before="40"/>
      </w:pPr>
      <w:r>
        <w:rPr>
          <w:rFonts w:ascii="Arial" w:cs="Arial" w:eastAsia="Arial" w:hAnsi="Arial"/>
          <w:color w:val="111827"/>
          <w:sz w:val="21"/>
          <w:szCs w:val="21"/>
        </w:rPr>
        <w:t xml:space="preserve">Opened Tableau Desktop and selected Connect → To a File (or server depending on source format)</w:t>
      </w:r>
    </w:p>
    <w:p>
      <w:pPr>
        <w:pStyle w:val="ListParagraph"/>
        <w:numPr>
          <w:ilvl w:val="0"/>
          <w:numId w:val="2"/>
        </w:numPr>
        <w:spacing w:after="55" w:before="40"/>
      </w:pPr>
      <w:r>
        <w:rPr>
          <w:rFonts w:ascii="Arial" w:cs="Arial" w:eastAsia="Arial" w:hAnsi="Arial"/>
          <w:color w:val="111827"/>
          <w:sz w:val="21"/>
          <w:szCs w:val="21"/>
        </w:rPr>
        <w:t xml:space="preserve">Loaded the Bike Sales dataset — a flat-file containing all 15 fields across Date, Customer, Geography, Product, and Financial dimensions</w:t>
      </w:r>
    </w:p>
    <w:p>
      <w:pPr>
        <w:pStyle w:val="ListParagraph"/>
        <w:numPr>
          <w:ilvl w:val="0"/>
          <w:numId w:val="2"/>
        </w:numPr>
        <w:spacing w:after="55" w:before="40"/>
      </w:pPr>
      <w:r>
        <w:rPr>
          <w:rFonts w:ascii="Arial" w:cs="Arial" w:eastAsia="Arial" w:hAnsi="Arial"/>
          <w:color w:val="111827"/>
          <w:sz w:val="21"/>
          <w:szCs w:val="21"/>
        </w:rPr>
        <w:t xml:space="preserve">Tableau auto-detected field types: Date fields assigned date type, integer fields assigned measure type, string fields assigned dimension type</w:t>
      </w:r>
    </w:p>
    <w:p>
      <w:pPr>
        <w:pStyle w:val="ListParagraph"/>
        <w:numPr>
          <w:ilvl w:val="0"/>
          <w:numId w:val="2"/>
        </w:numPr>
        <w:spacing w:after="55" w:before="40"/>
      </w:pPr>
      <w:r>
        <w:rPr>
          <w:rFonts w:ascii="Arial" w:cs="Arial" w:eastAsia="Arial" w:hAnsi="Arial"/>
          <w:color w:val="111827"/>
          <w:sz w:val="21"/>
          <w:szCs w:val="21"/>
        </w:rPr>
        <w:t xml:space="preserve">Verified the data connection in the Data Source tab — confirmed row count and field mapping</w:t>
      </w:r>
    </w:p>
    <w:p>
      <w:pPr>
        <w:pStyle w:val="ListParagraph"/>
        <w:numPr>
          <w:ilvl w:val="0"/>
          <w:numId w:val="2"/>
        </w:numPr>
        <w:spacing w:after="55" w:before="40"/>
      </w:pPr>
      <w:r>
        <w:rPr>
          <w:rFonts w:ascii="Arial" w:cs="Arial" w:eastAsia="Arial" w:hAnsi="Arial"/>
          <w:color w:val="111827"/>
          <w:sz w:val="21"/>
          <w:szCs w:val="21"/>
        </w:rPr>
        <w:t xml:space="preserve">The dataset uses a single flat table (no joins required) — all 15 columns available immediately for visualization</w:t>
      </w:r>
    </w:p>
    <w:p>
      <w:pPr>
        <w:spacing w:after="80" w:before="0"/>
      </w:pPr>
    </w:p>
    <w:p>
      <w:pPr>
        <w:spacing w:after="55" w:before="55"/>
        <w:ind w:left="144"/>
      </w:pPr>
      <w:r>
        <w:rPr>
          <w:rFonts w:ascii="Arial" w:cs="Arial" w:eastAsia="Arial" w:hAnsi="Arial"/>
          <w:b/>
          <w:bCs/>
          <w:color w:val="1B3A6B"/>
          <w:sz w:val="21"/>
          <w:szCs w:val="21"/>
        </w:rPr>
        <w:t xml:space="preserve">Connection Type:  </w:t>
      </w:r>
      <w:r>
        <w:rPr>
          <w:rFonts w:ascii="Arial" w:cs="Arial" w:eastAsia="Arial" w:hAnsi="Arial"/>
          <w:color w:val="111827"/>
          <w:sz w:val="21"/>
          <w:szCs w:val="21"/>
        </w:rPr>
        <w:t xml:space="preserve">Single flat-file (Sales table — no joins)</w:t>
      </w:r>
    </w:p>
    <w:p>
      <w:pPr>
        <w:spacing w:after="55" w:before="55"/>
        <w:ind w:left="144"/>
      </w:pPr>
      <w:r>
        <w:rPr>
          <w:rFonts w:ascii="Arial" w:cs="Arial" w:eastAsia="Arial" w:hAnsi="Arial"/>
          <w:b/>
          <w:bCs/>
          <w:color w:val="1B3A6B"/>
          <w:sz w:val="21"/>
          <w:szCs w:val="21"/>
        </w:rPr>
        <w:t xml:space="preserve">Data Source Name:  </w:t>
      </w:r>
      <w:r>
        <w:rPr>
          <w:rFonts w:ascii="Arial" w:cs="Arial" w:eastAsia="Arial" w:hAnsi="Arial"/>
          <w:color w:val="111827"/>
          <w:sz w:val="21"/>
          <w:szCs w:val="21"/>
        </w:rPr>
        <w:t xml:space="preserve">Sales (Sales) — federated connection</w:t>
      </w:r>
    </w:p>
    <w:p>
      <w:pPr>
        <w:spacing w:after="55" w:before="55"/>
        <w:ind w:left="144"/>
      </w:pPr>
      <w:r>
        <w:rPr>
          <w:rFonts w:ascii="Arial" w:cs="Arial" w:eastAsia="Arial" w:hAnsi="Arial"/>
          <w:b/>
          <w:bCs/>
          <w:color w:val="1B3A6B"/>
          <w:sz w:val="21"/>
          <w:szCs w:val="21"/>
        </w:rPr>
        <w:t xml:space="preserve">File Format:  </w:t>
      </w:r>
      <w:r>
        <w:rPr>
          <w:rFonts w:ascii="Arial" w:cs="Arial" w:eastAsia="Arial" w:hAnsi="Arial"/>
          <w:color w:val="111827"/>
          <w:sz w:val="21"/>
          <w:szCs w:val="21"/>
        </w:rPr>
        <w:t xml:space="preserve">.hyper (Tableau extract embedded in .twbx packaged workbook</w:t>
      </w:r>
    </w:p>
    <w:p>
      <w:pPr>
        <w:spacing w:after="55" w:before="55"/>
        <w:ind w:left="144"/>
      </w:pPr>
      <w:r>
        <w:rPr>
          <w:rFonts w:ascii="Arial" w:cs="Arial" w:eastAsia="Arial" w:hAnsi="Arial"/>
          <w:b/>
          <w:bCs/>
          <w:color w:val="1B3A6B"/>
          <w:sz w:val="21"/>
          <w:szCs w:val="21"/>
        </w:rPr>
        <w:t xml:space="preserve">Key Dimensions:  </w:t>
      </w:r>
      <w:r>
        <w:rPr>
          <w:rFonts w:ascii="Arial" w:cs="Arial" w:eastAsia="Arial" w:hAnsi="Arial"/>
          <w:color w:val="111827"/>
          <w:sz w:val="21"/>
          <w:szCs w:val="21"/>
        </w:rPr>
        <w:t xml:space="preserve">Country, State, Product Category, Sub Category, Product, Age Group, Customer Gender</w:t>
      </w:r>
    </w:p>
    <w:p>
      <w:pPr>
        <w:spacing w:after="55" w:before="55"/>
        <w:ind w:left="144"/>
      </w:pPr>
      <w:r>
        <w:rPr>
          <w:rFonts w:ascii="Arial" w:cs="Arial" w:eastAsia="Arial" w:hAnsi="Arial"/>
          <w:b/>
          <w:bCs/>
          <w:color w:val="1B3A6B"/>
          <w:sz w:val="21"/>
          <w:szCs w:val="21"/>
        </w:rPr>
        <w:t xml:space="preserve">Key Measures:  </w:t>
      </w:r>
      <w:r>
        <w:rPr>
          <w:rFonts w:ascii="Arial" w:cs="Arial" w:eastAsia="Arial" w:hAnsi="Arial"/>
          <w:color w:val="111827"/>
          <w:sz w:val="21"/>
          <w:szCs w:val="21"/>
        </w:rPr>
        <w:t xml:space="preserve">Revenue, Profit, Cost, Order Quantity, Unit Price, Unit Cost, Customer Age</w:t>
      </w:r>
    </w:p>
    <w:p>
      <w:pPr>
        <w:spacing w:after="55" w:before="55"/>
        <w:ind w:left="144"/>
      </w:pPr>
      <w:r>
        <w:rPr>
          <w:rFonts w:ascii="Arial" w:cs="Arial" w:eastAsia="Arial" w:hAnsi="Arial"/>
          <w:b/>
          <w:bCs/>
          <w:color w:val="1B3A6B"/>
          <w:sz w:val="21"/>
          <w:szCs w:val="21"/>
        </w:rPr>
        <w:t xml:space="preserve">Date Granularity:  </w:t>
      </w:r>
      <w:r>
        <w:rPr>
          <w:rFonts w:ascii="Arial" w:cs="Arial" w:eastAsia="Arial" w:hAnsi="Arial"/>
          <w:color w:val="111827"/>
          <w:sz w:val="21"/>
          <w:szCs w:val="21"/>
        </w:rPr>
        <w:t xml:space="preserve">Day-level data; Year-level filtering applied via Parameter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DBEAFE" w:val="clear"/>
            <w:tcMar>
              <w:top w:type="dxa" w:w="90"/>
              <w:left w:type="dxa" w:w="216"/>
              <w:bottom w:type="dxa" w:w="90"/>
              <w:right w:type="dxa" w:w="173"/>
            </w:tcMar>
          </w:tcPr>
          <w:p>
            <w:pPr>
              <w:spacing w:after="40" w:before="0"/>
            </w:pPr>
            <w:r>
              <w:rPr>
                <w:rFonts w:ascii="Arial" w:cs="Arial" w:eastAsia="Arial" w:hAnsi="Arial"/>
                <w:b/>
                <w:bCs/>
                <w:color w:val="1B3A6B"/>
                <w:sz w:val="21"/>
                <w:szCs w:val="21"/>
              </w:rPr>
              <w:t xml:space="preserve">💡 Why use a Packaged Workbook (.twbx)?</w:t>
            </w:r>
          </w:p>
          <w:p>
            <w:pPr>
              <w:spacing w:after="0" w:before="0"/>
            </w:pPr>
            <w:r>
              <w:rPr>
                <w:rFonts w:ascii="Arial" w:cs="Arial" w:eastAsia="Arial" w:hAnsi="Arial"/>
                <w:i/>
                <w:iCs/>
                <w:color w:val="4B5563"/>
                <w:sz w:val="20"/>
                <w:szCs w:val="20"/>
              </w:rPr>
              <w:t xml:space="preserve">A .twbx file bundles the workbook XML and the data extract (.hyper file) into a single ZIP archive. This means the dashboard and its data travel together — useful for sharing with colleagues who do not have access to the original data source.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03</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1 — Top 10 Products Chart</w:t>
            </w:r>
          </w:p>
          <w:p>
            <w:pPr>
              <w:spacing w:after="0" w:before="0"/>
            </w:pPr>
            <w:r>
              <w:rPr>
                <w:rFonts w:ascii="Arial" w:cs="Arial" w:eastAsia="Arial" w:hAnsi="Arial"/>
                <w:i/>
                <w:iCs/>
                <w:color w:val="4B5563"/>
                <w:sz w:val="19"/>
                <w:szCs w:val="19"/>
              </w:rPr>
              <w:t xml:space="preserve">Lesson 131  ·  Horizontal bar chart filtered to top 10 products by revenue or profit</w:t>
            </w:r>
          </w:p>
        </w:tc>
      </w:tr>
    </w:tbl>
    <w:p>
      <w:pPr>
        <w:spacing w:after="120" w:before="0"/>
      </w:pPr>
    </w:p>
    <w:p>
      <w:pPr>
        <w:spacing w:after="90" w:before="60"/>
        <w:jc w:val="both"/>
      </w:pPr>
      <w:r>
        <w:rPr>
          <w:rFonts w:ascii="Arial" w:cs="Arial" w:eastAsia="Arial" w:hAnsi="Arial"/>
          <w:color w:val="111827"/>
          <w:sz w:val="21"/>
          <w:szCs w:val="21"/>
        </w:rPr>
        <w:t xml:space="preserve">The first worksheet created is a horizontal bar chart displaying the top 10 selling products. A TopN filter is applied so only the 10 highest-performing products are shown, making the chart clean and focused for the final dashboard.</w:t>
      </w:r>
    </w:p>
    <w:p>
      <w:pPr>
        <w:spacing w:after="80" w:before="0"/>
      </w:pPr>
    </w:p>
    <w:p>
      <w:pPr>
        <w:pStyle w:val="Heading3"/>
      </w:pPr>
      <w:r>
        <w:rPr>
          <w:rFonts w:ascii="Arial" w:cs="Arial" w:eastAsia="Arial" w:hAnsi="Arial"/>
          <w:b/>
          <w:bCs/>
          <w:color w:val="111827"/>
          <w:sz w:val="22"/>
          <w:szCs w:val="22"/>
        </w:rPr>
        <w:t xml:space="preserve">Build Steps</w:t>
      </w:r>
    </w:p>
    <w:p>
      <w:pPr>
        <w:pStyle w:val="ListParagraph"/>
        <w:numPr>
          <w:ilvl w:val="0"/>
          <w:numId w:val="2"/>
        </w:numPr>
        <w:spacing w:after="55" w:before="40"/>
      </w:pPr>
      <w:r>
        <w:rPr>
          <w:rFonts w:ascii="Arial" w:cs="Arial" w:eastAsia="Arial" w:hAnsi="Arial"/>
          <w:color w:val="111827"/>
          <w:sz w:val="21"/>
          <w:szCs w:val="21"/>
        </w:rPr>
        <w:t xml:space="preserve">Dragged Product (Dimension) onto Rows shelf</w:t>
      </w:r>
    </w:p>
    <w:p>
      <w:pPr>
        <w:pStyle w:val="ListParagraph"/>
        <w:numPr>
          <w:ilvl w:val="0"/>
          <w:numId w:val="2"/>
        </w:numPr>
        <w:spacing w:after="55" w:before="40"/>
      </w:pPr>
      <w:r>
        <w:rPr>
          <w:rFonts w:ascii="Arial" w:cs="Arial" w:eastAsia="Arial" w:hAnsi="Arial"/>
          <w:color w:val="111827"/>
          <w:sz w:val="21"/>
          <w:szCs w:val="21"/>
        </w:rPr>
        <w:t xml:space="preserve">Dragged Revenue or Profit (Measure) onto Columns shelf — Tableau renders a horizontal bar automatically</w:t>
      </w:r>
    </w:p>
    <w:p>
      <w:pPr>
        <w:pStyle w:val="ListParagraph"/>
        <w:numPr>
          <w:ilvl w:val="0"/>
          <w:numId w:val="2"/>
        </w:numPr>
        <w:spacing w:after="55" w:before="40"/>
      </w:pPr>
      <w:r>
        <w:rPr>
          <w:rFonts w:ascii="Arial" w:cs="Arial" w:eastAsia="Arial" w:hAnsi="Arial"/>
          <w:color w:val="111827"/>
          <w:sz w:val="21"/>
          <w:szCs w:val="21"/>
        </w:rPr>
        <w:t xml:space="preserve">Applied a TopN filter: Filter dialog → Top tab → By field: Top 10 by Sum of Revenue</w:t>
      </w:r>
    </w:p>
    <w:p>
      <w:pPr>
        <w:pStyle w:val="ListParagraph"/>
        <w:numPr>
          <w:ilvl w:val="0"/>
          <w:numId w:val="2"/>
        </w:numPr>
        <w:spacing w:after="55" w:before="40"/>
      </w:pPr>
      <w:r>
        <w:rPr>
          <w:rFonts w:ascii="Arial" w:cs="Arial" w:eastAsia="Arial" w:hAnsi="Arial"/>
          <w:color w:val="111827"/>
          <w:sz w:val="21"/>
          <w:szCs w:val="21"/>
        </w:rPr>
        <w:t xml:space="preserve">Sorted bars in descending order so the highest-revenue product appears at the top</w:t>
      </w:r>
    </w:p>
    <w:p>
      <w:pPr>
        <w:pStyle w:val="ListParagraph"/>
        <w:numPr>
          <w:ilvl w:val="0"/>
          <w:numId w:val="2"/>
        </w:numPr>
        <w:spacing w:after="55" w:before="40"/>
      </w:pPr>
      <w:r>
        <w:rPr>
          <w:rFonts w:ascii="Arial" w:cs="Arial" w:eastAsia="Arial" w:hAnsi="Arial"/>
          <w:color w:val="111827"/>
          <w:sz w:val="21"/>
          <w:szCs w:val="21"/>
        </w:rPr>
        <w:t xml:space="preserve">Applied a Year Filter using the calculated Year Filter field connected to the Year Parameter</w:t>
      </w:r>
    </w:p>
    <w:p>
      <w:pPr>
        <w:pStyle w:val="ListParagraph"/>
        <w:numPr>
          <w:ilvl w:val="0"/>
          <w:numId w:val="2"/>
        </w:numPr>
        <w:spacing w:after="55" w:before="40"/>
      </w:pPr>
      <w:r>
        <w:rPr>
          <w:rFonts w:ascii="Arial" w:cs="Arial" w:eastAsia="Arial" w:hAnsi="Arial"/>
          <w:color w:val="111827"/>
          <w:sz w:val="21"/>
          <w:szCs w:val="21"/>
        </w:rPr>
        <w:t xml:space="preserve">Formatted bar color using a single blue palette for clean, professional appearance</w:t>
      </w:r>
    </w:p>
    <w:p>
      <w:pPr>
        <w:spacing w:after="80" w:before="0"/>
      </w:pPr>
    </w:p>
    <w:p>
      <w:pPr>
        <w:spacing w:after="55" w:before="55"/>
        <w:ind w:left="144"/>
      </w:pPr>
      <w:r>
        <w:rPr>
          <w:rFonts w:ascii="Arial" w:cs="Arial" w:eastAsia="Arial" w:hAnsi="Arial"/>
          <w:b/>
          <w:bCs/>
          <w:color w:val="1B3A6B"/>
          <w:sz w:val="21"/>
          <w:szCs w:val="21"/>
        </w:rPr>
        <w:t xml:space="preserve">Visual Type:  </w:t>
      </w:r>
      <w:r>
        <w:rPr>
          <w:rFonts w:ascii="Arial" w:cs="Arial" w:eastAsia="Arial" w:hAnsi="Arial"/>
          <w:color w:val="111827"/>
          <w:sz w:val="21"/>
          <w:szCs w:val="21"/>
        </w:rPr>
        <w:t xml:space="preserve">Horizontal Bar Chart (Mark type: Bar)</w:t>
      </w:r>
    </w:p>
    <w:p>
      <w:pPr>
        <w:spacing w:after="55" w:before="55"/>
        <w:ind w:left="144"/>
      </w:pPr>
      <w:r>
        <w:rPr>
          <w:rFonts w:ascii="Arial" w:cs="Arial" w:eastAsia="Arial" w:hAnsi="Arial"/>
          <w:b/>
          <w:bCs/>
          <w:color w:val="1B3A6B"/>
          <w:sz w:val="21"/>
          <w:szCs w:val="21"/>
        </w:rPr>
        <w:t xml:space="preserve">Rows:  </w:t>
      </w:r>
      <w:r>
        <w:rPr>
          <w:rFonts w:ascii="Arial" w:cs="Arial" w:eastAsia="Arial" w:hAnsi="Arial"/>
          <w:color w:val="111827"/>
          <w:sz w:val="21"/>
          <w:szCs w:val="21"/>
        </w:rPr>
        <w:t xml:space="preserve">Product (Dimension)</w:t>
      </w:r>
    </w:p>
    <w:p>
      <w:pPr>
        <w:spacing w:after="55" w:before="55"/>
        <w:ind w:left="144"/>
      </w:pPr>
      <w:r>
        <w:rPr>
          <w:rFonts w:ascii="Arial" w:cs="Arial" w:eastAsia="Arial" w:hAnsi="Arial"/>
          <w:b/>
          <w:bCs/>
          <w:color w:val="1B3A6B"/>
          <w:sz w:val="21"/>
          <w:szCs w:val="21"/>
        </w:rPr>
        <w:t xml:space="preserve">Filter:  </w:t>
      </w:r>
      <w:r>
        <w:rPr>
          <w:rFonts w:ascii="Arial" w:cs="Arial" w:eastAsia="Arial" w:hAnsi="Arial"/>
          <w:color w:val="111827"/>
          <w:sz w:val="21"/>
          <w:szCs w:val="21"/>
        </w:rPr>
        <w:t xml:space="preserve">Product Top Ten — TopN filter: Top 10 by Sum of Revenue</w:t>
      </w:r>
    </w:p>
    <w:p>
      <w:pPr>
        <w:spacing w:after="55" w:before="55"/>
        <w:ind w:left="144"/>
      </w:pPr>
      <w:r>
        <w:rPr>
          <w:rFonts w:ascii="Arial" w:cs="Arial" w:eastAsia="Arial" w:hAnsi="Arial"/>
          <w:b/>
          <w:bCs/>
          <w:color w:val="1B3A6B"/>
          <w:sz w:val="21"/>
          <w:szCs w:val="21"/>
        </w:rPr>
        <w:t xml:space="preserve">Year Filter:  </w:t>
      </w:r>
      <w:r>
        <w:rPr>
          <w:rFonts w:ascii="Arial" w:cs="Arial" w:eastAsia="Arial" w:hAnsi="Arial"/>
          <w:color w:val="111827"/>
          <w:sz w:val="21"/>
          <w:szCs w:val="21"/>
        </w:rPr>
        <w:t xml:space="preserve">Year Filter calculated field filters data by selected Year Parameter</w:t>
      </w:r>
    </w:p>
    <w:p>
      <w:pPr>
        <w:spacing w:after="55" w:before="55"/>
        <w:ind w:left="144"/>
      </w:pPr>
      <w:r>
        <w:rPr>
          <w:rFonts w:ascii="Arial" w:cs="Arial" w:eastAsia="Arial" w:hAnsi="Arial"/>
          <w:b/>
          <w:bCs/>
          <w:color w:val="1B3A6B"/>
          <w:sz w:val="21"/>
          <w:szCs w:val="21"/>
        </w:rPr>
        <w:t xml:space="preserve">Use on Dash:  </w:t>
      </w:r>
      <w:r>
        <w:rPr>
          <w:rFonts w:ascii="Arial" w:cs="Arial" w:eastAsia="Arial" w:hAnsi="Arial"/>
          <w:color w:val="111827"/>
          <w:sz w:val="21"/>
          <w:szCs w:val="21"/>
        </w:rPr>
        <w:t xml:space="preserve">Top-left panel of the Sales Dashboard — shows best-performing products at a glance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DBEAFE" w:val="clear"/>
            <w:tcMar>
              <w:top w:type="dxa" w:w="90"/>
              <w:left w:type="dxa" w:w="216"/>
              <w:bottom w:type="dxa" w:w="90"/>
              <w:right w:type="dxa" w:w="173"/>
            </w:tcMar>
          </w:tcPr>
          <w:p>
            <w:pPr>
              <w:spacing w:after="40" w:before="0"/>
            </w:pPr>
            <w:r>
              <w:rPr>
                <w:rFonts w:ascii="Arial" w:cs="Arial" w:eastAsia="Arial" w:hAnsi="Arial"/>
                <w:b/>
                <w:bCs/>
                <w:color w:val="1B3A6B"/>
                <w:sz w:val="21"/>
                <w:szCs w:val="21"/>
              </w:rPr>
              <w:t xml:space="preserve">💡 Business Value</w:t>
            </w:r>
          </w:p>
          <w:p>
            <w:pPr>
              <w:spacing w:after="0" w:before="0"/>
            </w:pPr>
            <w:r>
              <w:rPr>
                <w:rFonts w:ascii="Arial" w:cs="Arial" w:eastAsia="Arial" w:hAnsi="Arial"/>
                <w:i/>
                <w:iCs/>
                <w:color w:val="4B5563"/>
                <w:sz w:val="20"/>
                <w:szCs w:val="20"/>
              </w:rPr>
              <w:t xml:space="preserve">Immediately reveals which products drive the most revenue. Sales teams can use this to prioritize stock, promotions, and supplier negotiations for the top 10 SKUs.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04</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2 — Stacked Bar: Profit by Sub-Category</w:t>
            </w:r>
          </w:p>
          <w:p>
            <w:pPr>
              <w:spacing w:after="0" w:before="0"/>
            </w:pPr>
            <w:r>
              <w:rPr>
                <w:rFonts w:ascii="Arial" w:cs="Arial" w:eastAsia="Arial" w:hAnsi="Arial"/>
                <w:i/>
                <w:iCs/>
                <w:color w:val="4B5563"/>
                <w:sz w:val="19"/>
                <w:szCs w:val="19"/>
              </w:rPr>
              <w:t xml:space="preserve">Lesson 132  ·  Stacked bar chart showing profit contribution by product sub-category</w:t>
            </w:r>
          </w:p>
        </w:tc>
      </w:tr>
    </w:tbl>
    <w:p>
      <w:pPr>
        <w:spacing w:after="120" w:before="0"/>
      </w:pPr>
    </w:p>
    <w:p>
      <w:pPr>
        <w:spacing w:after="90" w:before="60"/>
        <w:jc w:val="both"/>
      </w:pPr>
      <w:r>
        <w:rPr>
          <w:rFonts w:ascii="Arial" w:cs="Arial" w:eastAsia="Arial" w:hAnsi="Arial"/>
          <w:color w:val="111827"/>
          <w:sz w:val="21"/>
          <w:szCs w:val="21"/>
        </w:rPr>
        <w:t xml:space="preserve">This sheet provides a breakdown of profit across all product sub-categories. The stacked bar format allows comparison of both total sub-category profit and the internal breakdown by a secondary dimension (e.g., gender or product category color encoding).</w:t>
      </w:r>
    </w:p>
    <w:p>
      <w:pPr>
        <w:spacing w:after="80" w:before="0"/>
      </w:pPr>
    </w:p>
    <w:p>
      <w:pPr>
        <w:pStyle w:val="Heading3"/>
      </w:pPr>
      <w:r>
        <w:rPr>
          <w:rFonts w:ascii="Arial" w:cs="Arial" w:eastAsia="Arial" w:hAnsi="Arial"/>
          <w:b/>
          <w:bCs/>
          <w:color w:val="111827"/>
          <w:sz w:val="22"/>
          <w:szCs w:val="22"/>
        </w:rPr>
        <w:t xml:space="preserve">Build Steps</w:t>
      </w:r>
    </w:p>
    <w:p>
      <w:pPr>
        <w:pStyle w:val="ListParagraph"/>
        <w:numPr>
          <w:ilvl w:val="0"/>
          <w:numId w:val="2"/>
        </w:numPr>
        <w:spacing w:after="55" w:before="40"/>
      </w:pPr>
      <w:r>
        <w:rPr>
          <w:rFonts w:ascii="Arial" w:cs="Arial" w:eastAsia="Arial" w:hAnsi="Arial"/>
          <w:color w:val="111827"/>
          <w:sz w:val="21"/>
          <w:szCs w:val="21"/>
        </w:rPr>
        <w:t xml:space="preserve">Dragged Sub Category (Dimension) onto Columns shelf</w:t>
      </w:r>
    </w:p>
    <w:p>
      <w:pPr>
        <w:pStyle w:val="ListParagraph"/>
        <w:numPr>
          <w:ilvl w:val="0"/>
          <w:numId w:val="2"/>
        </w:numPr>
        <w:spacing w:after="55" w:before="40"/>
      </w:pPr>
      <w:r>
        <w:rPr>
          <w:rFonts w:ascii="Arial" w:cs="Arial" w:eastAsia="Arial" w:hAnsi="Arial"/>
          <w:color w:val="111827"/>
          <w:sz w:val="21"/>
          <w:szCs w:val="21"/>
        </w:rPr>
        <w:t xml:space="preserve">Dragged Profit (Measure) onto Rows shelf — SUM(Profit) aggregated automatically</w:t>
      </w:r>
    </w:p>
    <w:p>
      <w:pPr>
        <w:pStyle w:val="ListParagraph"/>
        <w:numPr>
          <w:ilvl w:val="0"/>
          <w:numId w:val="2"/>
        </w:numPr>
        <w:spacing w:after="55" w:before="40"/>
      </w:pPr>
      <w:r>
        <w:rPr>
          <w:rFonts w:ascii="Arial" w:cs="Arial" w:eastAsia="Arial" w:hAnsi="Arial"/>
          <w:color w:val="111827"/>
          <w:sz w:val="21"/>
          <w:szCs w:val="21"/>
        </w:rPr>
        <w:t xml:space="preserve">Added a color encoding dimension to the Marks Color shelf to create stacked segments (e.g., Product Category or Customer Gender)</w:t>
      </w:r>
    </w:p>
    <w:p>
      <w:pPr>
        <w:pStyle w:val="ListParagraph"/>
        <w:numPr>
          <w:ilvl w:val="0"/>
          <w:numId w:val="2"/>
        </w:numPr>
        <w:spacing w:after="55" w:before="40"/>
      </w:pPr>
      <w:r>
        <w:rPr>
          <w:rFonts w:ascii="Arial" w:cs="Arial" w:eastAsia="Arial" w:hAnsi="Arial"/>
          <w:color w:val="111827"/>
          <w:sz w:val="21"/>
          <w:szCs w:val="21"/>
        </w:rPr>
        <w:t xml:space="preserve">Applied Year Filter to connect to the Year Parameter control on the dashboard</w:t>
      </w:r>
    </w:p>
    <w:p>
      <w:pPr>
        <w:pStyle w:val="ListParagraph"/>
        <w:numPr>
          <w:ilvl w:val="0"/>
          <w:numId w:val="2"/>
        </w:numPr>
        <w:spacing w:after="55" w:before="40"/>
      </w:pPr>
      <w:r>
        <w:rPr>
          <w:rFonts w:ascii="Arial" w:cs="Arial" w:eastAsia="Arial" w:hAnsi="Arial"/>
          <w:color w:val="111827"/>
          <w:sz w:val="21"/>
          <w:szCs w:val="21"/>
        </w:rPr>
        <w:t xml:space="preserve">Sorted sub-categories by total profit descending so highest-profit categories appear first</w:t>
      </w:r>
    </w:p>
    <w:p>
      <w:pPr>
        <w:pStyle w:val="ListParagraph"/>
        <w:numPr>
          <w:ilvl w:val="0"/>
          <w:numId w:val="2"/>
        </w:numPr>
        <w:spacing w:after="55" w:before="40"/>
      </w:pPr>
      <w:r>
        <w:rPr>
          <w:rFonts w:ascii="Arial" w:cs="Arial" w:eastAsia="Arial" w:hAnsi="Arial"/>
          <w:color w:val="111827"/>
          <w:sz w:val="21"/>
          <w:szCs w:val="21"/>
        </w:rPr>
        <w:t xml:space="preserve">Formatted axis labels and gridlines for a clean dark or light theme consistent with the dashboard</w:t>
      </w:r>
    </w:p>
    <w:p>
      <w:pPr>
        <w:spacing w:after="80" w:before="0"/>
      </w:pPr>
    </w:p>
    <w:p>
      <w:pPr>
        <w:spacing w:after="55" w:before="55"/>
        <w:ind w:left="144"/>
      </w:pPr>
      <w:r>
        <w:rPr>
          <w:rFonts w:ascii="Arial" w:cs="Arial" w:eastAsia="Arial" w:hAnsi="Arial"/>
          <w:b/>
          <w:bCs/>
          <w:color w:val="1B3A6B"/>
          <w:sz w:val="21"/>
          <w:szCs w:val="21"/>
        </w:rPr>
        <w:t xml:space="preserve">Visual Type:  </w:t>
      </w:r>
      <w:r>
        <w:rPr>
          <w:rFonts w:ascii="Arial" w:cs="Arial" w:eastAsia="Arial" w:hAnsi="Arial"/>
          <w:color w:val="111827"/>
          <w:sz w:val="21"/>
          <w:szCs w:val="21"/>
        </w:rPr>
        <w:t xml:space="preserve">Stacked Bar Chart (Mark type: Automatic → Bar)</w:t>
      </w:r>
    </w:p>
    <w:p>
      <w:pPr>
        <w:spacing w:after="55" w:before="55"/>
        <w:ind w:left="144"/>
      </w:pPr>
      <w:r>
        <w:rPr>
          <w:rFonts w:ascii="Arial" w:cs="Arial" w:eastAsia="Arial" w:hAnsi="Arial"/>
          <w:b/>
          <w:bCs/>
          <w:color w:val="1B3A6B"/>
          <w:sz w:val="21"/>
          <w:szCs w:val="21"/>
        </w:rPr>
        <w:t xml:space="preserve">Columns:  </w:t>
      </w:r>
      <w:r>
        <w:rPr>
          <w:rFonts w:ascii="Arial" w:cs="Arial" w:eastAsia="Arial" w:hAnsi="Arial"/>
          <w:color w:val="111827"/>
          <w:sz w:val="21"/>
          <w:szCs w:val="21"/>
        </w:rPr>
        <w:t xml:space="preserve">Sub Category (Dimension)</w:t>
      </w:r>
    </w:p>
    <w:p>
      <w:pPr>
        <w:spacing w:after="55" w:before="55"/>
        <w:ind w:left="144"/>
      </w:pPr>
      <w:r>
        <w:rPr>
          <w:rFonts w:ascii="Arial" w:cs="Arial" w:eastAsia="Arial" w:hAnsi="Arial"/>
          <w:b/>
          <w:bCs/>
          <w:color w:val="1B3A6B"/>
          <w:sz w:val="21"/>
          <w:szCs w:val="21"/>
        </w:rPr>
        <w:t xml:space="preserve">Rows:  </w:t>
      </w:r>
      <w:r>
        <w:rPr>
          <w:rFonts w:ascii="Arial" w:cs="Arial" w:eastAsia="Arial" w:hAnsi="Arial"/>
          <w:color w:val="111827"/>
          <w:sz w:val="21"/>
          <w:szCs w:val="21"/>
        </w:rPr>
        <w:t xml:space="preserve">SUM(Profit) (Measure)</w:t>
      </w:r>
    </w:p>
    <w:p>
      <w:pPr>
        <w:spacing w:after="55" w:before="55"/>
        <w:ind w:left="144"/>
      </w:pPr>
      <w:r>
        <w:rPr>
          <w:rFonts w:ascii="Arial" w:cs="Arial" w:eastAsia="Arial" w:hAnsi="Arial"/>
          <w:b/>
          <w:bCs/>
          <w:color w:val="1B3A6B"/>
          <w:sz w:val="21"/>
          <w:szCs w:val="21"/>
        </w:rPr>
        <w:t xml:space="preserve">Color:  </w:t>
      </w:r>
      <w:r>
        <w:rPr>
          <w:rFonts w:ascii="Arial" w:cs="Arial" w:eastAsia="Arial" w:hAnsi="Arial"/>
          <w:color w:val="111827"/>
          <w:sz w:val="21"/>
          <w:szCs w:val="21"/>
        </w:rPr>
        <w:t xml:space="preserve">Secondary dimension for stacking — reveals profit composition</w:t>
      </w:r>
    </w:p>
    <w:p>
      <w:pPr>
        <w:spacing w:after="55" w:before="55"/>
        <w:ind w:left="144"/>
      </w:pPr>
      <w:r>
        <w:rPr>
          <w:rFonts w:ascii="Arial" w:cs="Arial" w:eastAsia="Arial" w:hAnsi="Arial"/>
          <w:b/>
          <w:bCs/>
          <w:color w:val="1B3A6B"/>
          <w:sz w:val="21"/>
          <w:szCs w:val="21"/>
        </w:rPr>
        <w:t xml:space="preserve">Filter:  </w:t>
      </w:r>
      <w:r>
        <w:rPr>
          <w:rFonts w:ascii="Arial" w:cs="Arial" w:eastAsia="Arial" w:hAnsi="Arial"/>
          <w:color w:val="111827"/>
          <w:sz w:val="21"/>
          <w:szCs w:val="21"/>
        </w:rPr>
        <w:t xml:space="preserve">Year Filter calculated field</w:t>
      </w:r>
    </w:p>
    <w:p>
      <w:pPr>
        <w:spacing w:after="55" w:before="55"/>
        <w:ind w:left="144"/>
      </w:pPr>
      <w:r>
        <w:rPr>
          <w:rFonts w:ascii="Arial" w:cs="Arial" w:eastAsia="Arial" w:hAnsi="Arial"/>
          <w:b/>
          <w:bCs/>
          <w:color w:val="1B3A6B"/>
          <w:sz w:val="21"/>
          <w:szCs w:val="21"/>
        </w:rPr>
        <w:t xml:space="preserve">Use on Dash:  </w:t>
      </w:r>
      <w:r>
        <w:rPr>
          <w:rFonts w:ascii="Arial" w:cs="Arial" w:eastAsia="Arial" w:hAnsi="Arial"/>
          <w:color w:val="111827"/>
          <w:sz w:val="21"/>
          <w:szCs w:val="21"/>
        </w:rPr>
        <w:t xml:space="preserve">Bottom-center panel — reveals which sub-categories are most and least profitable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DCFCE7" w:val="clear"/>
            <w:tcMar>
              <w:top w:type="dxa" w:w="90"/>
              <w:left w:type="dxa" w:w="216"/>
              <w:bottom w:type="dxa" w:w="90"/>
              <w:right w:type="dxa" w:w="173"/>
            </w:tcMar>
          </w:tcPr>
          <w:p>
            <w:pPr>
              <w:spacing w:after="40" w:before="0"/>
            </w:pPr>
            <w:r>
              <w:rPr>
                <w:rFonts w:ascii="Arial" w:cs="Arial" w:eastAsia="Arial" w:hAnsi="Arial"/>
                <w:b/>
                <w:bCs/>
                <w:color w:val="15803D"/>
                <w:sz w:val="21"/>
                <w:szCs w:val="21"/>
              </w:rPr>
              <w:t xml:space="preserve">💡 Business Value</w:t>
            </w:r>
          </w:p>
          <w:p>
            <w:pPr>
              <w:spacing w:after="0" w:before="0"/>
            </w:pPr>
            <w:r>
              <w:rPr>
                <w:rFonts w:ascii="Arial" w:cs="Arial" w:eastAsia="Arial" w:hAnsi="Arial"/>
                <w:i/>
                <w:iCs/>
                <w:color w:val="4B5563"/>
                <w:sz w:val="20"/>
                <w:szCs w:val="20"/>
              </w:rPr>
              <w:t xml:space="preserve">Identifies underperforming sub-categories that may need pricing adjustment, and high-profit sub-categories worth scaling. Stacking adds a layer showing contribution by segment.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05</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3 — Bubble Chart: Revenue by Age Group</w:t>
            </w:r>
          </w:p>
          <w:p>
            <w:pPr>
              <w:spacing w:after="0" w:before="0"/>
            </w:pPr>
            <w:r>
              <w:rPr>
                <w:rFonts w:ascii="Arial" w:cs="Arial" w:eastAsia="Arial" w:hAnsi="Arial"/>
                <w:i/>
                <w:iCs/>
                <w:color w:val="4B5563"/>
                <w:sz w:val="19"/>
                <w:szCs w:val="19"/>
              </w:rPr>
              <w:t xml:space="preserve">Lesson 133  ·  Packed bubble chart showing total revenue by customer age group</w:t>
            </w:r>
          </w:p>
        </w:tc>
      </w:tr>
    </w:tbl>
    <w:p>
      <w:pPr>
        <w:spacing w:after="120" w:before="0"/>
      </w:pPr>
    </w:p>
    <w:p>
      <w:pPr>
        <w:spacing w:after="90" w:before="60"/>
        <w:jc w:val="both"/>
      </w:pPr>
      <w:r>
        <w:rPr>
          <w:rFonts w:ascii="Arial" w:cs="Arial" w:eastAsia="Arial" w:hAnsi="Arial"/>
          <w:color w:val="111827"/>
          <w:sz w:val="21"/>
          <w:szCs w:val="21"/>
        </w:rPr>
        <w:t xml:space="preserve">The bubble chart gives a visual representation of revenue contribution by customer age group. Bubble size encodes revenue magnitude — larger bubbles represent age groups that generate more revenue — making it easy to identify the highest-value customer segments.</w:t>
      </w:r>
    </w:p>
    <w:p>
      <w:pPr>
        <w:spacing w:after="80" w:before="0"/>
      </w:pPr>
    </w:p>
    <w:p>
      <w:pPr>
        <w:pStyle w:val="Heading3"/>
      </w:pPr>
      <w:r>
        <w:rPr>
          <w:rFonts w:ascii="Arial" w:cs="Arial" w:eastAsia="Arial" w:hAnsi="Arial"/>
          <w:b/>
          <w:bCs/>
          <w:color w:val="111827"/>
          <w:sz w:val="22"/>
          <w:szCs w:val="22"/>
        </w:rPr>
        <w:t xml:space="preserve">Build Steps</w:t>
      </w:r>
    </w:p>
    <w:p>
      <w:pPr>
        <w:pStyle w:val="ListParagraph"/>
        <w:numPr>
          <w:ilvl w:val="0"/>
          <w:numId w:val="2"/>
        </w:numPr>
        <w:spacing w:after="55" w:before="40"/>
      </w:pPr>
      <w:r>
        <w:rPr>
          <w:rFonts w:ascii="Arial" w:cs="Arial" w:eastAsia="Arial" w:hAnsi="Arial"/>
          <w:color w:val="111827"/>
          <w:sz w:val="21"/>
          <w:szCs w:val="21"/>
        </w:rPr>
        <w:t xml:space="preserve">Changed Mark type to Circle (Marks card → select Circle)</w:t>
      </w:r>
    </w:p>
    <w:p>
      <w:pPr>
        <w:pStyle w:val="ListParagraph"/>
        <w:numPr>
          <w:ilvl w:val="0"/>
          <w:numId w:val="2"/>
        </w:numPr>
        <w:spacing w:after="55" w:before="40"/>
      </w:pPr>
      <w:r>
        <w:rPr>
          <w:rFonts w:ascii="Arial" w:cs="Arial" w:eastAsia="Arial" w:hAnsi="Arial"/>
          <w:color w:val="111827"/>
          <w:sz w:val="21"/>
          <w:szCs w:val="21"/>
        </w:rPr>
        <w:t xml:space="preserve">Dragged Age Group (Dimension) onto the Label and Color shelves</w:t>
      </w:r>
    </w:p>
    <w:p>
      <w:pPr>
        <w:pStyle w:val="ListParagraph"/>
        <w:numPr>
          <w:ilvl w:val="0"/>
          <w:numId w:val="2"/>
        </w:numPr>
        <w:spacing w:after="55" w:before="40"/>
      </w:pPr>
      <w:r>
        <w:rPr>
          <w:rFonts w:ascii="Arial" w:cs="Arial" w:eastAsia="Arial" w:hAnsi="Arial"/>
          <w:color w:val="111827"/>
          <w:sz w:val="21"/>
          <w:szCs w:val="21"/>
        </w:rPr>
        <w:t xml:space="preserve">Dragged Revenue (Measure) onto the Size shelf — bubble size reflects total revenue per age group</w:t>
      </w:r>
    </w:p>
    <w:p>
      <w:pPr>
        <w:pStyle w:val="ListParagraph"/>
        <w:numPr>
          <w:ilvl w:val="0"/>
          <w:numId w:val="2"/>
        </w:numPr>
        <w:spacing w:after="55" w:before="40"/>
      </w:pPr>
      <w:r>
        <w:rPr>
          <w:rFonts w:ascii="Arial" w:cs="Arial" w:eastAsia="Arial" w:hAnsi="Arial"/>
          <w:color w:val="111827"/>
          <w:sz w:val="21"/>
          <w:szCs w:val="21"/>
        </w:rPr>
        <w:t xml:space="preserve">Dragged Revenue onto the Label shelf so revenue values appear inside bubbles</w:t>
      </w:r>
    </w:p>
    <w:p>
      <w:pPr>
        <w:pStyle w:val="ListParagraph"/>
        <w:numPr>
          <w:ilvl w:val="0"/>
          <w:numId w:val="2"/>
        </w:numPr>
        <w:spacing w:after="55" w:before="40"/>
      </w:pPr>
      <w:r>
        <w:rPr>
          <w:rFonts w:ascii="Arial" w:cs="Arial" w:eastAsia="Arial" w:hAnsi="Arial"/>
          <w:color w:val="111827"/>
          <w:sz w:val="21"/>
          <w:szCs w:val="21"/>
        </w:rPr>
        <w:t xml:space="preserve">Applied Year Filter connected to the Year Parameter</w:t>
      </w:r>
    </w:p>
    <w:p>
      <w:pPr>
        <w:pStyle w:val="ListParagraph"/>
        <w:numPr>
          <w:ilvl w:val="0"/>
          <w:numId w:val="2"/>
        </w:numPr>
        <w:spacing w:after="55" w:before="40"/>
      </w:pPr>
      <w:r>
        <w:rPr>
          <w:rFonts w:ascii="Arial" w:cs="Arial" w:eastAsia="Arial" w:hAnsi="Arial"/>
          <w:color w:val="111827"/>
          <w:sz w:val="21"/>
          <w:szCs w:val="21"/>
        </w:rPr>
        <w:t xml:space="preserve">Formatted bubble colors using a distinct color per Age Group (Youth, Young Adults, Adults, Seniors)</w:t>
      </w:r>
    </w:p>
    <w:p>
      <w:pPr>
        <w:spacing w:after="80" w:before="0"/>
      </w:pPr>
    </w:p>
    <w:p>
      <w:pPr>
        <w:spacing w:after="55" w:before="55"/>
        <w:ind w:left="144"/>
      </w:pPr>
      <w:r>
        <w:rPr>
          <w:rFonts w:ascii="Arial" w:cs="Arial" w:eastAsia="Arial" w:hAnsi="Arial"/>
          <w:b/>
          <w:bCs/>
          <w:color w:val="1B3A6B"/>
          <w:sz w:val="21"/>
          <w:szCs w:val="21"/>
        </w:rPr>
        <w:t xml:space="preserve">Visual Type:  </w:t>
      </w:r>
      <w:r>
        <w:rPr>
          <w:rFonts w:ascii="Arial" w:cs="Arial" w:eastAsia="Arial" w:hAnsi="Arial"/>
          <w:color w:val="111827"/>
          <w:sz w:val="21"/>
          <w:szCs w:val="21"/>
        </w:rPr>
        <w:t xml:space="preserve">Packed Bubble Chart (Mark type: Circle)</w:t>
      </w:r>
    </w:p>
    <w:p>
      <w:pPr>
        <w:spacing w:after="55" w:before="55"/>
        <w:ind w:left="144"/>
      </w:pPr>
      <w:r>
        <w:rPr>
          <w:rFonts w:ascii="Arial" w:cs="Arial" w:eastAsia="Arial" w:hAnsi="Arial"/>
          <w:b/>
          <w:bCs/>
          <w:color w:val="1B3A6B"/>
          <w:sz w:val="21"/>
          <w:szCs w:val="21"/>
        </w:rPr>
        <w:t xml:space="preserve">Color:  </w:t>
      </w:r>
      <w:r>
        <w:rPr>
          <w:rFonts w:ascii="Arial" w:cs="Arial" w:eastAsia="Arial" w:hAnsi="Arial"/>
          <w:color w:val="111827"/>
          <w:sz w:val="21"/>
          <w:szCs w:val="21"/>
        </w:rPr>
        <w:t xml:space="preserve">Age Group (Dimension) — each bubble colored by age segment</w:t>
      </w:r>
    </w:p>
    <w:p>
      <w:pPr>
        <w:spacing w:after="55" w:before="55"/>
        <w:ind w:left="144"/>
      </w:pPr>
      <w:r>
        <w:rPr>
          <w:rFonts w:ascii="Arial" w:cs="Arial" w:eastAsia="Arial" w:hAnsi="Arial"/>
          <w:b/>
          <w:bCs/>
          <w:color w:val="1B3A6B"/>
          <w:sz w:val="21"/>
          <w:szCs w:val="21"/>
        </w:rPr>
        <w:t xml:space="preserve">Size:  </w:t>
      </w:r>
      <w:r>
        <w:rPr>
          <w:rFonts w:ascii="Arial" w:cs="Arial" w:eastAsia="Arial" w:hAnsi="Arial"/>
          <w:color w:val="111827"/>
          <w:sz w:val="21"/>
          <w:szCs w:val="21"/>
        </w:rPr>
        <w:t xml:space="preserve">SUM(Revenue) — larger bubble = higher revenue from that age group</w:t>
      </w:r>
    </w:p>
    <w:p>
      <w:pPr>
        <w:spacing w:after="55" w:before="55"/>
        <w:ind w:left="144"/>
      </w:pPr>
      <w:r>
        <w:rPr>
          <w:rFonts w:ascii="Arial" w:cs="Arial" w:eastAsia="Arial" w:hAnsi="Arial"/>
          <w:b/>
          <w:bCs/>
          <w:color w:val="1B3A6B"/>
          <w:sz w:val="21"/>
          <w:szCs w:val="21"/>
        </w:rPr>
        <w:t xml:space="preserve">Label:  </w:t>
      </w:r>
      <w:r>
        <w:rPr>
          <w:rFonts w:ascii="Arial" w:cs="Arial" w:eastAsia="Arial" w:hAnsi="Arial"/>
          <w:color w:val="111827"/>
          <w:sz w:val="21"/>
          <w:szCs w:val="21"/>
        </w:rPr>
        <w:t xml:space="preserve">Age Group name + Revenue value displayed inside each bubble</w:t>
      </w:r>
    </w:p>
    <w:p>
      <w:pPr>
        <w:spacing w:after="55" w:before="55"/>
        <w:ind w:left="144"/>
      </w:pPr>
      <w:r>
        <w:rPr>
          <w:rFonts w:ascii="Arial" w:cs="Arial" w:eastAsia="Arial" w:hAnsi="Arial"/>
          <w:b/>
          <w:bCs/>
          <w:color w:val="1B3A6B"/>
          <w:sz w:val="21"/>
          <w:szCs w:val="21"/>
        </w:rPr>
        <w:t xml:space="preserve">Filter:  </w:t>
      </w:r>
      <w:r>
        <w:rPr>
          <w:rFonts w:ascii="Arial" w:cs="Arial" w:eastAsia="Arial" w:hAnsi="Arial"/>
          <w:color w:val="111827"/>
          <w:sz w:val="21"/>
          <w:szCs w:val="21"/>
        </w:rPr>
        <w:t xml:space="preserve">Year Filter calculated field</w:t>
      </w:r>
    </w:p>
    <w:p>
      <w:pPr>
        <w:spacing w:after="55" w:before="55"/>
        <w:ind w:left="144"/>
      </w:pPr>
      <w:r>
        <w:rPr>
          <w:rFonts w:ascii="Arial" w:cs="Arial" w:eastAsia="Arial" w:hAnsi="Arial"/>
          <w:b/>
          <w:bCs/>
          <w:color w:val="1B3A6B"/>
          <w:sz w:val="21"/>
          <w:szCs w:val="21"/>
        </w:rPr>
        <w:t xml:space="preserve">Use on Dash:  </w:t>
      </w:r>
      <w:r>
        <w:rPr>
          <w:rFonts w:ascii="Arial" w:cs="Arial" w:eastAsia="Arial" w:hAnsi="Arial"/>
          <w:color w:val="111827"/>
          <w:sz w:val="21"/>
          <w:szCs w:val="21"/>
        </w:rPr>
        <w:t xml:space="preserve">Reveals highest-revenue customer age segments at a glance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FEF3C7" w:val="clear"/>
            <w:tcMar>
              <w:top w:type="dxa" w:w="90"/>
              <w:left w:type="dxa" w:w="216"/>
              <w:bottom w:type="dxa" w:w="90"/>
              <w:right w:type="dxa" w:w="173"/>
            </w:tcMar>
          </w:tcPr>
          <w:p>
            <w:pPr>
              <w:spacing w:after="40" w:before="0"/>
            </w:pPr>
            <w:r>
              <w:rPr>
                <w:rFonts w:ascii="Arial" w:cs="Arial" w:eastAsia="Arial" w:hAnsi="Arial"/>
                <w:b/>
                <w:bCs/>
                <w:color w:val="D97706"/>
                <w:sz w:val="21"/>
                <w:szCs w:val="21"/>
              </w:rPr>
              <w:t xml:space="preserve">💡 Business Value</w:t>
            </w:r>
          </w:p>
          <w:p>
            <w:pPr>
              <w:spacing w:after="0" w:before="0"/>
            </w:pPr>
            <w:r>
              <w:rPr>
                <w:rFonts w:ascii="Arial" w:cs="Arial" w:eastAsia="Arial" w:hAnsi="Arial"/>
                <w:i/>
                <w:iCs/>
                <w:color w:val="4B5563"/>
                <w:sz w:val="20"/>
                <w:szCs w:val="20"/>
              </w:rPr>
              <w:t xml:space="preserve">Adults and Young Adults typically drive the most bike sales revenue. This view enables marketing teams to target budget toward the highest-revenue age segments and design age-appropriate promotions.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06</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4 — Map: Profit by Country</w:t>
            </w:r>
          </w:p>
          <w:p>
            <w:pPr>
              <w:spacing w:after="0" w:before="0"/>
            </w:pPr>
            <w:r>
              <w:rPr>
                <w:rFonts w:ascii="Arial" w:cs="Arial" w:eastAsia="Arial" w:hAnsi="Arial"/>
                <w:i/>
                <w:iCs/>
                <w:color w:val="4B5563"/>
                <w:sz w:val="19"/>
                <w:szCs w:val="19"/>
              </w:rPr>
              <w:t xml:space="preserve">Lesson 134  ·  Filled map showing geographic distribution of profit by country</w:t>
            </w:r>
          </w:p>
        </w:tc>
      </w:tr>
    </w:tbl>
    <w:p>
      <w:pPr>
        <w:spacing w:after="120" w:before="0"/>
      </w:pPr>
    </w:p>
    <w:p>
      <w:pPr>
        <w:spacing w:after="90" w:before="60"/>
        <w:jc w:val="both"/>
      </w:pPr>
      <w:r>
        <w:rPr>
          <w:rFonts w:ascii="Arial" w:cs="Arial" w:eastAsia="Arial" w:hAnsi="Arial"/>
          <w:color w:val="111827"/>
          <w:sz w:val="21"/>
          <w:szCs w:val="21"/>
        </w:rPr>
        <w:t xml:space="preserve">The map visualization provides a geographic perspective on profit performance. Tableau automatically recognizes country names as geographic fields and places them on a world map, with color saturation or pie chart marks encoding the profit value per country.</w:t>
      </w:r>
    </w:p>
    <w:p>
      <w:pPr>
        <w:spacing w:after="80" w:before="0"/>
      </w:pPr>
    </w:p>
    <w:p>
      <w:pPr>
        <w:pStyle w:val="Heading3"/>
      </w:pPr>
      <w:r>
        <w:rPr>
          <w:rFonts w:ascii="Arial" w:cs="Arial" w:eastAsia="Arial" w:hAnsi="Arial"/>
          <w:b/>
          <w:bCs/>
          <w:color w:val="111827"/>
          <w:sz w:val="22"/>
          <w:szCs w:val="22"/>
        </w:rPr>
        <w:t xml:space="preserve">Build Steps</w:t>
      </w:r>
    </w:p>
    <w:p>
      <w:pPr>
        <w:pStyle w:val="ListParagraph"/>
        <w:numPr>
          <w:ilvl w:val="0"/>
          <w:numId w:val="2"/>
        </w:numPr>
        <w:spacing w:after="55" w:before="40"/>
      </w:pPr>
      <w:r>
        <w:rPr>
          <w:rFonts w:ascii="Arial" w:cs="Arial" w:eastAsia="Arial" w:hAnsi="Arial"/>
          <w:color w:val="111827"/>
          <w:sz w:val="21"/>
          <w:szCs w:val="21"/>
        </w:rPr>
        <w:t xml:space="preserve">Double-clicked Country (Dimension) — Tableau automatically generated Latitude and Longitude fields and rendered a map</w:t>
      </w:r>
    </w:p>
    <w:p>
      <w:pPr>
        <w:pStyle w:val="ListParagraph"/>
        <w:numPr>
          <w:ilvl w:val="0"/>
          <w:numId w:val="2"/>
        </w:numPr>
        <w:spacing w:after="55" w:before="40"/>
      </w:pPr>
      <w:r>
        <w:rPr>
          <w:rFonts w:ascii="Arial" w:cs="Arial" w:eastAsia="Arial" w:hAnsi="Arial"/>
          <w:color w:val="111827"/>
          <w:sz w:val="21"/>
          <w:szCs w:val="21"/>
        </w:rPr>
        <w:t xml:space="preserve">Dragged Profit (Measure) onto the Color shelf — map fills each country with color intensity based on SUM(Profit)</w:t>
      </w:r>
    </w:p>
    <w:p>
      <w:pPr>
        <w:pStyle w:val="ListParagraph"/>
        <w:numPr>
          <w:ilvl w:val="0"/>
          <w:numId w:val="2"/>
        </w:numPr>
        <w:spacing w:after="55" w:before="40"/>
      </w:pPr>
      <w:r>
        <w:rPr>
          <w:rFonts w:ascii="Arial" w:cs="Arial" w:eastAsia="Arial" w:hAnsi="Arial"/>
          <w:color w:val="111827"/>
          <w:sz w:val="21"/>
          <w:szCs w:val="21"/>
        </w:rPr>
        <w:t xml:space="preserve">Changed Mark type to Pie to show profit breakdown by sub-dimension within each country</w:t>
      </w:r>
    </w:p>
    <w:p>
      <w:pPr>
        <w:pStyle w:val="ListParagraph"/>
        <w:numPr>
          <w:ilvl w:val="0"/>
          <w:numId w:val="2"/>
        </w:numPr>
        <w:spacing w:after="55" w:before="40"/>
      </w:pPr>
      <w:r>
        <w:rPr>
          <w:rFonts w:ascii="Arial" w:cs="Arial" w:eastAsia="Arial" w:hAnsi="Arial"/>
          <w:color w:val="111827"/>
          <w:sz w:val="21"/>
          <w:szCs w:val="21"/>
        </w:rPr>
        <w:t xml:space="preserve">Added country labels using the Label shelf so country names appear on the map</w:t>
      </w:r>
    </w:p>
    <w:p>
      <w:pPr>
        <w:pStyle w:val="ListParagraph"/>
        <w:numPr>
          <w:ilvl w:val="0"/>
          <w:numId w:val="2"/>
        </w:numPr>
        <w:spacing w:after="55" w:before="40"/>
      </w:pPr>
      <w:r>
        <w:rPr>
          <w:rFonts w:ascii="Arial" w:cs="Arial" w:eastAsia="Arial" w:hAnsi="Arial"/>
          <w:color w:val="111827"/>
          <w:sz w:val="21"/>
          <w:szCs w:val="21"/>
        </w:rPr>
        <w:t xml:space="preserve">Applied Year Filter to enable year-over-year geographic comparison via the dashboard parameter</w:t>
      </w:r>
    </w:p>
    <w:p>
      <w:pPr>
        <w:pStyle w:val="ListParagraph"/>
        <w:numPr>
          <w:ilvl w:val="0"/>
          <w:numId w:val="2"/>
        </w:numPr>
        <w:spacing w:after="55" w:before="40"/>
      </w:pPr>
      <w:r>
        <w:rPr>
          <w:rFonts w:ascii="Arial" w:cs="Arial" w:eastAsia="Arial" w:hAnsi="Arial"/>
          <w:color w:val="111827"/>
          <w:sz w:val="21"/>
          <w:szCs w:val="21"/>
        </w:rPr>
        <w:t xml:space="preserve">Configured map style to a clean light or dark base layer appropriate for the dashboard theme</w:t>
      </w:r>
    </w:p>
    <w:p>
      <w:pPr>
        <w:spacing w:after="80" w:before="0"/>
      </w:pPr>
    </w:p>
    <w:p>
      <w:pPr>
        <w:spacing w:after="55" w:before="55"/>
        <w:ind w:left="144"/>
      </w:pPr>
      <w:r>
        <w:rPr>
          <w:rFonts w:ascii="Arial" w:cs="Arial" w:eastAsia="Arial" w:hAnsi="Arial"/>
          <w:b/>
          <w:bCs/>
          <w:color w:val="1B3A6B"/>
          <w:sz w:val="21"/>
          <w:szCs w:val="21"/>
        </w:rPr>
        <w:t xml:space="preserve">Visual Type:  </w:t>
      </w:r>
      <w:r>
        <w:rPr>
          <w:rFonts w:ascii="Arial" w:cs="Arial" w:eastAsia="Arial" w:hAnsi="Arial"/>
          <w:color w:val="111827"/>
          <w:sz w:val="21"/>
          <w:szCs w:val="21"/>
        </w:rPr>
        <w:t xml:space="preserve">Geographic Map (Mark type: Pie)</w:t>
      </w:r>
    </w:p>
    <w:p>
      <w:pPr>
        <w:spacing w:after="55" w:before="55"/>
        <w:ind w:left="144"/>
      </w:pPr>
      <w:r>
        <w:rPr>
          <w:rFonts w:ascii="Arial" w:cs="Arial" w:eastAsia="Arial" w:hAnsi="Arial"/>
          <w:b/>
          <w:bCs/>
          <w:color w:val="1B3A6B"/>
          <w:sz w:val="21"/>
          <w:szCs w:val="21"/>
        </w:rPr>
        <w:t xml:space="preserve">Rows:  </w:t>
      </w:r>
      <w:r>
        <w:rPr>
          <w:rFonts w:ascii="Arial" w:cs="Arial" w:eastAsia="Arial" w:hAnsi="Arial"/>
          <w:color w:val="111827"/>
          <w:sz w:val="21"/>
          <w:szCs w:val="21"/>
        </w:rPr>
        <w:t xml:space="preserve">Latitude (generated by Tableau)</w:t>
      </w:r>
    </w:p>
    <w:p>
      <w:pPr>
        <w:spacing w:after="55" w:before="55"/>
        <w:ind w:left="144"/>
      </w:pPr>
      <w:r>
        <w:rPr>
          <w:rFonts w:ascii="Arial" w:cs="Arial" w:eastAsia="Arial" w:hAnsi="Arial"/>
          <w:b/>
          <w:bCs/>
          <w:color w:val="1B3A6B"/>
          <w:sz w:val="21"/>
          <w:szCs w:val="21"/>
        </w:rPr>
        <w:t xml:space="preserve">Columns:  </w:t>
      </w:r>
      <w:r>
        <w:rPr>
          <w:rFonts w:ascii="Arial" w:cs="Arial" w:eastAsia="Arial" w:hAnsi="Arial"/>
          <w:color w:val="111827"/>
          <w:sz w:val="21"/>
          <w:szCs w:val="21"/>
        </w:rPr>
        <w:t xml:space="preserve">Longitude (generated by Tableau)</w:t>
      </w:r>
    </w:p>
    <w:p>
      <w:pPr>
        <w:spacing w:after="55" w:before="55"/>
        <w:ind w:left="144"/>
      </w:pPr>
      <w:r>
        <w:rPr>
          <w:rFonts w:ascii="Arial" w:cs="Arial" w:eastAsia="Arial" w:hAnsi="Arial"/>
          <w:b/>
          <w:bCs/>
          <w:color w:val="1B3A6B"/>
          <w:sz w:val="21"/>
          <w:szCs w:val="21"/>
        </w:rPr>
        <w:t xml:space="preserve">Color/Size:  </w:t>
      </w:r>
      <w:r>
        <w:rPr>
          <w:rFonts w:ascii="Arial" w:cs="Arial" w:eastAsia="Arial" w:hAnsi="Arial"/>
          <w:color w:val="111827"/>
          <w:sz w:val="21"/>
          <w:szCs w:val="21"/>
        </w:rPr>
        <w:t xml:space="preserve">SUM(Profit) — darker/larger = higher profit</w:t>
      </w:r>
    </w:p>
    <w:p>
      <w:pPr>
        <w:spacing w:after="55" w:before="55"/>
        <w:ind w:left="144"/>
      </w:pPr>
      <w:r>
        <w:rPr>
          <w:rFonts w:ascii="Arial" w:cs="Arial" w:eastAsia="Arial" w:hAnsi="Arial"/>
          <w:b/>
          <w:bCs/>
          <w:color w:val="1B3A6B"/>
          <w:sz w:val="21"/>
          <w:szCs w:val="21"/>
        </w:rPr>
        <w:t xml:space="preserve">Filter:  </w:t>
      </w:r>
      <w:r>
        <w:rPr>
          <w:rFonts w:ascii="Arial" w:cs="Arial" w:eastAsia="Arial" w:hAnsi="Arial"/>
          <w:color w:val="111827"/>
          <w:sz w:val="21"/>
          <w:szCs w:val="21"/>
        </w:rPr>
        <w:t xml:space="preserve">Year Filter calculated field</w:t>
      </w:r>
    </w:p>
    <w:p>
      <w:pPr>
        <w:spacing w:after="55" w:before="55"/>
        <w:ind w:left="144"/>
      </w:pPr>
      <w:r>
        <w:rPr>
          <w:rFonts w:ascii="Arial" w:cs="Arial" w:eastAsia="Arial" w:hAnsi="Arial"/>
          <w:b/>
          <w:bCs/>
          <w:color w:val="1B3A6B"/>
          <w:sz w:val="21"/>
          <w:szCs w:val="21"/>
        </w:rPr>
        <w:t xml:space="preserve">Countries:  </w:t>
      </w:r>
      <w:r>
        <w:rPr>
          <w:rFonts w:ascii="Arial" w:cs="Arial" w:eastAsia="Arial" w:hAnsi="Arial"/>
          <w:color w:val="111827"/>
          <w:sz w:val="21"/>
          <w:szCs w:val="21"/>
        </w:rPr>
        <w:t xml:space="preserve">United States, United Kingdom, Canada, Australia, France, Germany (dataset scope)</w:t>
      </w:r>
    </w:p>
    <w:p>
      <w:pPr>
        <w:spacing w:after="55" w:before="55"/>
        <w:ind w:left="144"/>
      </w:pPr>
      <w:r>
        <w:rPr>
          <w:rFonts w:ascii="Arial" w:cs="Arial" w:eastAsia="Arial" w:hAnsi="Arial"/>
          <w:b/>
          <w:bCs/>
          <w:color w:val="1B3A6B"/>
          <w:sz w:val="21"/>
          <w:szCs w:val="21"/>
        </w:rPr>
        <w:t xml:space="preserve">Use on Dash:  </w:t>
      </w:r>
      <w:r>
        <w:rPr>
          <w:rFonts w:ascii="Arial" w:cs="Arial" w:eastAsia="Arial" w:hAnsi="Arial"/>
          <w:color w:val="111827"/>
          <w:sz w:val="21"/>
          <w:szCs w:val="21"/>
        </w:rPr>
        <w:t xml:space="preserve">Bottom-right of dashboard — geographic profit view for regional strategy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DBEAFE" w:val="clear"/>
            <w:tcMar>
              <w:top w:type="dxa" w:w="90"/>
              <w:left w:type="dxa" w:w="216"/>
              <w:bottom w:type="dxa" w:w="90"/>
              <w:right w:type="dxa" w:w="173"/>
            </w:tcMar>
          </w:tcPr>
          <w:p>
            <w:pPr>
              <w:spacing w:after="40" w:before="0"/>
            </w:pPr>
            <w:r>
              <w:rPr>
                <w:rFonts w:ascii="Arial" w:cs="Arial" w:eastAsia="Arial" w:hAnsi="Arial"/>
                <w:b/>
                <w:bCs/>
                <w:color w:val="1B3A6B"/>
                <w:sz w:val="21"/>
                <w:szCs w:val="21"/>
              </w:rPr>
              <w:t xml:space="preserve">💡 Business Value</w:t>
            </w:r>
          </w:p>
          <w:p>
            <w:pPr>
              <w:spacing w:after="0" w:before="0"/>
            </w:pPr>
            <w:r>
              <w:rPr>
                <w:rFonts w:ascii="Arial" w:cs="Arial" w:eastAsia="Arial" w:hAnsi="Arial"/>
                <w:i/>
                <w:iCs/>
                <w:color w:val="4B5563"/>
                <w:sz w:val="20"/>
                <w:szCs w:val="20"/>
              </w:rPr>
              <w:t xml:space="preserve">Quickly identifies which countries generate the most profit and which underperform. Supports regional expansion decisions, territory assignment, and country-level sales strategy.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07</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5 — Profit Card &amp; Year-on-Year % Change</w:t>
            </w:r>
          </w:p>
          <w:p>
            <w:pPr>
              <w:spacing w:after="0" w:before="0"/>
            </w:pPr>
            <w:r>
              <w:rPr>
                <w:rFonts w:ascii="Arial" w:cs="Arial" w:eastAsia="Arial" w:hAnsi="Arial"/>
                <w:i/>
                <w:iCs/>
                <w:color w:val="4B5563"/>
                <w:sz w:val="19"/>
                <w:szCs w:val="19"/>
              </w:rPr>
              <w:t xml:space="preserve">Lesson 135  ·  KPI cards for current-year profit, last-year profit, and YoY % change</w:t>
            </w:r>
          </w:p>
        </w:tc>
      </w:tr>
    </w:tbl>
    <w:p>
      <w:pPr>
        <w:spacing w:after="120" w:before="0"/>
      </w:pPr>
    </w:p>
    <w:p>
      <w:pPr>
        <w:spacing w:after="90" w:before="60"/>
        <w:jc w:val="both"/>
      </w:pPr>
      <w:r>
        <w:rPr>
          <w:rFonts w:ascii="Arial" w:cs="Arial" w:eastAsia="Arial" w:hAnsi="Arial"/>
          <w:color w:val="111827"/>
          <w:sz w:val="21"/>
          <w:szCs w:val="21"/>
        </w:rPr>
        <w:t xml:space="preserve">This is the most technically advanced section of the project. Three calculated fields and a Year Parameter work together to display KPI cards that update dynamically when the user changes the selected year on the dashboard.</w:t>
      </w:r>
    </w:p>
    <w:p>
      <w:pPr>
        <w:spacing w:after="80" w:before="0"/>
      </w:pPr>
    </w:p>
    <w:p>
      <w:pPr>
        <w:pStyle w:val="Heading3"/>
      </w:pPr>
      <w:r>
        <w:rPr>
          <w:rFonts w:ascii="Arial" w:cs="Arial" w:eastAsia="Arial" w:hAnsi="Arial"/>
          <w:b/>
          <w:bCs/>
          <w:color w:val="111827"/>
          <w:sz w:val="22"/>
          <w:szCs w:val="22"/>
        </w:rPr>
        <w:t xml:space="preserve">Year Parameter Setup</w:t>
      </w:r>
    </w:p>
    <w:p>
      <w:pPr>
        <w:pStyle w:val="ListParagraph"/>
        <w:numPr>
          <w:ilvl w:val="0"/>
          <w:numId w:val="2"/>
        </w:numPr>
        <w:spacing w:after="55" w:before="40"/>
      </w:pPr>
      <w:r>
        <w:rPr>
          <w:rFonts w:ascii="Arial" w:cs="Arial" w:eastAsia="Arial" w:hAnsi="Arial"/>
          <w:color w:val="111827"/>
          <w:sz w:val="21"/>
          <w:szCs w:val="21"/>
        </w:rPr>
        <w:t xml:space="preserve">Created a Parameter: Parameter 1 — data type Date, current value 2016-01-01, represents the selected analysis year</w:t>
      </w:r>
    </w:p>
    <w:p>
      <w:pPr>
        <w:pStyle w:val="ListParagraph"/>
        <w:numPr>
          <w:ilvl w:val="0"/>
          <w:numId w:val="2"/>
        </w:numPr>
        <w:spacing w:after="55" w:before="40"/>
      </w:pPr>
      <w:r>
        <w:rPr>
          <w:rFonts w:ascii="Arial" w:cs="Arial" w:eastAsia="Arial" w:hAnsi="Arial"/>
          <w:color w:val="111827"/>
          <w:sz w:val="21"/>
          <w:szCs w:val="21"/>
        </w:rPr>
        <w:t xml:space="preserve">This parameter appears as a dropdown or slider on the dashboard allowing users to switch between years</w:t>
      </w:r>
    </w:p>
    <w:p>
      <w:pPr>
        <w:spacing w:after="80" w:before="0"/>
      </w:pPr>
    </w:p>
    <w:p>
      <w:pPr>
        <w:pStyle w:val="Heading3"/>
      </w:pPr>
      <w:r>
        <w:rPr>
          <w:rFonts w:ascii="Arial" w:cs="Arial" w:eastAsia="Arial" w:hAnsi="Arial"/>
          <w:b/>
          <w:bCs/>
          <w:color w:val="111827"/>
          <w:sz w:val="22"/>
          <w:szCs w:val="22"/>
        </w:rPr>
        <w:t xml:space="preserve">Calculated Fields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6768"/>
      </w:tblGrid>
      <w:tr>
        <w:tc>
          <w:tcPr>
            <w:tcW w:type="dxa" w:w="2592"/>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Calculated Field</w:t>
            </w:r>
          </w:p>
        </w:tc>
        <w:tc>
          <w:tcPr>
            <w:tcW w:type="dxa" w:w="6768"/>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Courier New" w:cs="Courier New" w:eastAsia="Courier New" w:hAnsi="Courier New"/>
                <w:b/>
                <w:bCs/>
                <w:color w:val="FFFFFF"/>
                <w:sz w:val="19"/>
                <w:szCs w:val="19"/>
              </w:rPr>
              <w:t xml:space="preserve">Formula</w:t>
            </w:r>
          </w:p>
        </w:tc>
      </w:tr>
      <w:tr>
        <w:tc>
          <w:tcPr>
            <w:tcW w:type="dxa" w:w="2592"/>
            <w:tcBorders>
              <w:top w:val="single" w:color="E5E7EB" w:sz="4"/>
              <w:left w:val="single" w:color="E5E7EB" w:sz="4"/>
              <w:bottom w:val="single" w:color="E5E7EB" w:sz="4"/>
              <w:right w:val="single" w:color="E5E7EB" w:sz="4"/>
            </w:tcBorders>
            <w:shd w:fill="F0F7FF" w:val="clear"/>
            <w:tcMar>
              <w:top w:type="dxa" w:w="70"/>
              <w:left w:type="dxa" w:w="120"/>
              <w:bottom w:type="dxa" w:w="70"/>
              <w:right w:type="dxa" w:w="80"/>
            </w:tcMar>
          </w:tcPr>
          <w:p>
            <w:r>
              <w:rPr>
                <w:rFonts w:ascii="Arial" w:cs="Arial" w:eastAsia="Arial" w:hAnsi="Arial"/>
                <w:b/>
                <w:bCs/>
                <w:color w:val="1B3A6B"/>
                <w:sz w:val="19"/>
                <w:szCs w:val="19"/>
              </w:rPr>
              <w:t xml:space="preserve">Year Filter</w:t>
            </w:r>
          </w:p>
        </w:tc>
        <w:tc>
          <w:tcPr>
            <w:tcW w:type="dxa" w:w="6768"/>
            <w:tcBorders>
              <w:top w:val="single" w:color="E5E7EB" w:sz="4"/>
              <w:left w:val="single" w:color="E5E7EB" w:sz="4"/>
              <w:bottom w:val="single" w:color="E5E7EB" w:sz="4"/>
              <w:right w:val="single" w:color="E5E7EB" w:sz="4"/>
            </w:tcBorders>
            <w:shd w:fill="F0F7FF" w:val="clear"/>
            <w:tcMar>
              <w:top w:type="dxa" w:w="70"/>
              <w:left w:type="dxa" w:w="120"/>
              <w:bottom w:type="dxa" w:w="70"/>
              <w:right w:type="dxa" w:w="80"/>
            </w:tcMar>
          </w:tcPr>
          <w:p>
            <w:r>
              <w:rPr>
                <w:rFonts w:ascii="Courier New" w:cs="Courier New" w:eastAsia="Courier New" w:hAnsi="Courier New"/>
                <w:color w:val="111827"/>
                <w:sz w:val="18"/>
                <w:szCs w:val="18"/>
              </w:rPr>
              <w:t xml:space="preserve">DATE(DATETRUNC('year', [Date])) = [Parameter 1]</w:t>
            </w:r>
          </w:p>
        </w:tc>
      </w:tr>
      <w:tr>
        <w:tc>
          <w:tcPr>
            <w:tcW w:type="dxa" w:w="259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b/>
                <w:bCs/>
                <w:color w:val="1B3A6B"/>
                <w:sz w:val="19"/>
                <w:szCs w:val="19"/>
              </w:rPr>
              <w:t xml:space="preserve">Chosen Year Profit</w:t>
            </w:r>
          </w:p>
        </w:tc>
        <w:tc>
          <w:tcPr>
            <w:tcW w:type="dxa" w:w="6768"/>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color w:val="111827"/>
                <w:sz w:val="18"/>
                <w:szCs w:val="18"/>
              </w:rPr>
              <w:t xml:space="preserve">IF [Date - Year] = [Parameter 1] THEN [Profit] END</w:t>
            </w:r>
          </w:p>
        </w:tc>
      </w:tr>
      <w:tr>
        <w:tc>
          <w:tcPr>
            <w:tcW w:type="dxa" w:w="2592"/>
            <w:tcBorders>
              <w:top w:val="single" w:color="E5E7EB" w:sz="4"/>
              <w:left w:val="single" w:color="E5E7EB" w:sz="4"/>
              <w:bottom w:val="single" w:color="E5E7EB" w:sz="4"/>
              <w:right w:val="single" w:color="E5E7EB" w:sz="4"/>
            </w:tcBorders>
            <w:shd w:fill="F0F7FF" w:val="clear"/>
            <w:tcMar>
              <w:top w:type="dxa" w:w="70"/>
              <w:left w:type="dxa" w:w="120"/>
              <w:bottom w:type="dxa" w:w="70"/>
              <w:right w:type="dxa" w:w="80"/>
            </w:tcMar>
          </w:tcPr>
          <w:p>
            <w:r>
              <w:rPr>
                <w:rFonts w:ascii="Arial" w:cs="Arial" w:eastAsia="Arial" w:hAnsi="Arial"/>
                <w:b/>
                <w:bCs/>
                <w:color w:val="1B3A6B"/>
                <w:sz w:val="19"/>
                <w:szCs w:val="19"/>
              </w:rPr>
              <w:t xml:space="preserve">Last Year Profit</w:t>
            </w:r>
          </w:p>
        </w:tc>
        <w:tc>
          <w:tcPr>
            <w:tcW w:type="dxa" w:w="6768"/>
            <w:tcBorders>
              <w:top w:val="single" w:color="E5E7EB" w:sz="4"/>
              <w:left w:val="single" w:color="E5E7EB" w:sz="4"/>
              <w:bottom w:val="single" w:color="E5E7EB" w:sz="4"/>
              <w:right w:val="single" w:color="E5E7EB" w:sz="4"/>
            </w:tcBorders>
            <w:shd w:fill="F0F7FF" w:val="clear"/>
            <w:tcMar>
              <w:top w:type="dxa" w:w="70"/>
              <w:left w:type="dxa" w:w="120"/>
              <w:bottom w:type="dxa" w:w="70"/>
              <w:right w:type="dxa" w:w="80"/>
            </w:tcMar>
          </w:tcPr>
          <w:p>
            <w:r>
              <w:rPr>
                <w:rFonts w:ascii="Courier New" w:cs="Courier New" w:eastAsia="Courier New" w:hAnsi="Courier New"/>
                <w:color w:val="111827"/>
                <w:sz w:val="18"/>
                <w:szCs w:val="18"/>
              </w:rPr>
              <w:t xml:space="preserve">IF [Date - Year] = DATEADD('year', -1, [Parameter 1]) THEN [Profit] END</w:t>
            </w:r>
          </w:p>
        </w:tc>
      </w:tr>
      <w:tr>
        <w:tc>
          <w:tcPr>
            <w:tcW w:type="dxa" w:w="2592"/>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Arial" w:cs="Arial" w:eastAsia="Arial" w:hAnsi="Arial"/>
                <w:b/>
                <w:bCs/>
                <w:color w:val="1B3A6B"/>
                <w:sz w:val="19"/>
                <w:szCs w:val="19"/>
              </w:rPr>
              <w:t xml:space="preserve">YoY % Change</w:t>
            </w:r>
          </w:p>
        </w:tc>
        <w:tc>
          <w:tcPr>
            <w:tcW w:type="dxa" w:w="6768"/>
            <w:tcBorders>
              <w:top w:val="single" w:color="E5E7EB" w:sz="4"/>
              <w:left w:val="single" w:color="E5E7EB" w:sz="4"/>
              <w:bottom w:val="single" w:color="E5E7EB" w:sz="4"/>
              <w:right w:val="single" w:color="E5E7EB" w:sz="4"/>
            </w:tcBorders>
            <w:shd w:fill="FFFFFF" w:val="clear"/>
            <w:tcMar>
              <w:top w:type="dxa" w:w="70"/>
              <w:left w:type="dxa" w:w="120"/>
              <w:bottom w:type="dxa" w:w="70"/>
              <w:right w:type="dxa" w:w="80"/>
            </w:tcMar>
          </w:tcPr>
          <w:p>
            <w:r>
              <w:rPr>
                <w:rFonts w:ascii="Courier New" w:cs="Courier New" w:eastAsia="Courier New" w:hAnsi="Courier New"/>
                <w:color w:val="111827"/>
                <w:sz w:val="18"/>
                <w:szCs w:val="18"/>
              </w:rPr>
              <w:t xml:space="preserve">(SUM([Chosen Year Profit]) - SUM([Last Year Profit])) / SUM([Last Year Profit])</w:t>
            </w:r>
          </w:p>
        </w:tc>
      </w:tr>
    </w:tbl>
    <w:p>
      <w:pPr>
        <w:spacing w:after="80" w:before="0"/>
      </w:pPr>
    </w:p>
    <w:p>
      <w:pPr>
        <w:pStyle w:val="ListParagraph"/>
        <w:numPr>
          <w:ilvl w:val="0"/>
          <w:numId w:val="2"/>
        </w:numPr>
        <w:spacing w:after="55" w:before="40"/>
      </w:pPr>
      <w:r>
        <w:rPr>
          <w:rFonts w:ascii="Arial" w:cs="Arial" w:eastAsia="Arial" w:hAnsi="Arial"/>
          <w:color w:val="111827"/>
          <w:sz w:val="21"/>
          <w:szCs w:val="21"/>
        </w:rPr>
        <w:t xml:space="preserve">Profit Card built using text mark — dragged Chosen Year Profit to Text shelf on a blank sheet</w:t>
      </w:r>
    </w:p>
    <w:p>
      <w:pPr>
        <w:pStyle w:val="ListParagraph"/>
        <w:numPr>
          <w:ilvl w:val="0"/>
          <w:numId w:val="2"/>
        </w:numPr>
        <w:spacing w:after="55" w:before="40"/>
      </w:pPr>
      <w:r>
        <w:rPr>
          <w:rFonts w:ascii="Arial" w:cs="Arial" w:eastAsia="Arial" w:hAnsi="Arial"/>
          <w:color w:val="111827"/>
          <w:sz w:val="21"/>
          <w:szCs w:val="21"/>
        </w:rPr>
        <w:t xml:space="preserve">YoY % Change card formatted as percentage with color encoding: green for positive, red for negative change</w:t>
      </w:r>
    </w:p>
    <w:p>
      <w:pPr>
        <w:pStyle w:val="ListParagraph"/>
        <w:numPr>
          <w:ilvl w:val="0"/>
          <w:numId w:val="2"/>
        </w:numPr>
        <w:spacing w:after="55" w:before="40"/>
      </w:pPr>
      <w:r>
        <w:rPr>
          <w:rFonts w:ascii="Arial" w:cs="Arial" w:eastAsia="Arial" w:hAnsi="Arial"/>
          <w:color w:val="111827"/>
          <w:sz w:val="21"/>
          <w:szCs w:val="21"/>
        </w:rPr>
        <w:t xml:space="preserve">Both cards placed side-by-side in the dashboard header for at-a-glance KPI monitoring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DCFCE7" w:val="clear"/>
            <w:tcMar>
              <w:top w:type="dxa" w:w="90"/>
              <w:left w:type="dxa" w:w="216"/>
              <w:bottom w:type="dxa" w:w="90"/>
              <w:right w:type="dxa" w:w="173"/>
            </w:tcMar>
          </w:tcPr>
          <w:p>
            <w:pPr>
              <w:spacing w:after="40" w:before="0"/>
            </w:pPr>
            <w:r>
              <w:rPr>
                <w:rFonts w:ascii="Arial" w:cs="Arial" w:eastAsia="Arial" w:hAnsi="Arial"/>
                <w:b/>
                <w:bCs/>
                <w:color w:val="15803D"/>
                <w:sz w:val="21"/>
                <w:szCs w:val="21"/>
              </w:rPr>
              <w:t xml:space="preserve">💡 Business Value</w:t>
            </w:r>
          </w:p>
          <w:p>
            <w:pPr>
              <w:spacing w:after="0" w:before="0"/>
            </w:pPr>
            <w:r>
              <w:rPr>
                <w:rFonts w:ascii="Arial" w:cs="Arial" w:eastAsia="Arial" w:hAnsi="Arial"/>
                <w:i/>
                <w:iCs/>
                <w:color w:val="4B5563"/>
                <w:sz w:val="20"/>
                <w:szCs w:val="20"/>
              </w:rPr>
              <w:t xml:space="preserve">Year-over-year comparison is the most important KPI for any sales organization. Knowing not just the current profit but whether it grew or declined vs. last year enables executive-level decision making in seconds.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08</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6 — Revenue Card &amp; Line Chart</w:t>
            </w:r>
          </w:p>
          <w:p>
            <w:pPr>
              <w:spacing w:after="0" w:before="0"/>
            </w:pPr>
            <w:r>
              <w:rPr>
                <w:rFonts w:ascii="Arial" w:cs="Arial" w:eastAsia="Arial" w:hAnsi="Arial"/>
                <w:i/>
                <w:iCs/>
                <w:color w:val="4B5563"/>
                <w:sz w:val="19"/>
                <w:szCs w:val="19"/>
              </w:rPr>
              <w:t xml:space="preserve">Lesson 136  ·  KPI card for total revenue plus a monthly revenue trend line</w:t>
            </w:r>
          </w:p>
        </w:tc>
      </w:tr>
    </w:tbl>
    <w:p>
      <w:pPr>
        <w:spacing w:after="120" w:before="0"/>
      </w:pPr>
    </w:p>
    <w:p>
      <w:pPr>
        <w:spacing w:after="90" w:before="60"/>
        <w:jc w:val="both"/>
      </w:pPr>
      <w:r>
        <w:rPr>
          <w:rFonts w:ascii="Arial" w:cs="Arial" w:eastAsia="Arial" w:hAnsi="Arial"/>
          <w:color w:val="111827"/>
          <w:sz w:val="21"/>
          <w:szCs w:val="21"/>
        </w:rPr>
        <w:t xml:space="preserve">Two linked sheets display revenue: a KPI card showing total revenue for the selected year, and a line chart showing revenue trend across months. Together they give the viewer both a summary figure and the temporal distribution of revenue within the year.</w:t>
      </w:r>
    </w:p>
    <w:p>
      <w:pPr>
        <w:spacing w:after="80" w:before="0"/>
      </w:pPr>
    </w:p>
    <w:p>
      <w:pPr>
        <w:pStyle w:val="Heading3"/>
      </w:pPr>
      <w:r>
        <w:rPr>
          <w:rFonts w:ascii="Arial" w:cs="Arial" w:eastAsia="Arial" w:hAnsi="Arial"/>
          <w:b/>
          <w:bCs/>
          <w:color w:val="111827"/>
          <w:sz w:val="22"/>
          <w:szCs w:val="22"/>
        </w:rPr>
        <w:t xml:space="preserve">Revenue Card</w:t>
      </w:r>
    </w:p>
    <w:p>
      <w:pPr>
        <w:pStyle w:val="ListParagraph"/>
        <w:numPr>
          <w:ilvl w:val="0"/>
          <w:numId w:val="2"/>
        </w:numPr>
        <w:spacing w:after="55" w:before="40"/>
      </w:pPr>
      <w:r>
        <w:rPr>
          <w:rFonts w:ascii="Arial" w:cs="Arial" w:eastAsia="Arial" w:hAnsi="Arial"/>
          <w:color w:val="111827"/>
          <w:sz w:val="21"/>
          <w:szCs w:val="21"/>
        </w:rPr>
        <w:t xml:space="preserve">Created a new sheet, Mark type set to Text</w:t>
      </w:r>
    </w:p>
    <w:p>
      <w:pPr>
        <w:pStyle w:val="ListParagraph"/>
        <w:numPr>
          <w:ilvl w:val="0"/>
          <w:numId w:val="2"/>
        </w:numPr>
        <w:spacing w:after="55" w:before="40"/>
      </w:pPr>
      <w:r>
        <w:rPr>
          <w:rFonts w:ascii="Arial" w:cs="Arial" w:eastAsia="Arial" w:hAnsi="Arial"/>
          <w:color w:val="111827"/>
          <w:sz w:val="21"/>
          <w:szCs w:val="21"/>
        </w:rPr>
        <w:t xml:space="preserve">Dragged SUM(Revenue) to the Text shelf — displays the total revenue for the filtered year</w:t>
      </w:r>
    </w:p>
    <w:p>
      <w:pPr>
        <w:pStyle w:val="ListParagraph"/>
        <w:numPr>
          <w:ilvl w:val="0"/>
          <w:numId w:val="2"/>
        </w:numPr>
        <w:spacing w:after="55" w:before="40"/>
      </w:pPr>
      <w:r>
        <w:rPr>
          <w:rFonts w:ascii="Arial" w:cs="Arial" w:eastAsia="Arial" w:hAnsi="Arial"/>
          <w:color w:val="111827"/>
          <w:sz w:val="21"/>
          <w:szCs w:val="21"/>
        </w:rPr>
        <w:t xml:space="preserve">Applied Year Filter to connect the card to the dashboard Year Parameter</w:t>
      </w:r>
    </w:p>
    <w:p>
      <w:pPr>
        <w:pStyle w:val="ListParagraph"/>
        <w:numPr>
          <w:ilvl w:val="0"/>
          <w:numId w:val="2"/>
        </w:numPr>
        <w:spacing w:after="55" w:before="40"/>
      </w:pPr>
      <w:r>
        <w:rPr>
          <w:rFonts w:ascii="Arial" w:cs="Arial" w:eastAsia="Arial" w:hAnsi="Arial"/>
          <w:color w:val="111827"/>
          <w:sz w:val="21"/>
          <w:szCs w:val="21"/>
        </w:rPr>
        <w:t xml:space="preserve">Formatted the number display with currency formatting (e.g., $28.3M)</w:t>
      </w:r>
    </w:p>
    <w:p>
      <w:pPr>
        <w:spacing w:after="60" w:before="0"/>
      </w:pPr>
    </w:p>
    <w:p>
      <w:pPr>
        <w:pStyle w:val="Heading3"/>
      </w:pPr>
      <w:r>
        <w:rPr>
          <w:rFonts w:ascii="Arial" w:cs="Arial" w:eastAsia="Arial" w:hAnsi="Arial"/>
          <w:b/>
          <w:bCs/>
          <w:color w:val="111827"/>
          <w:sz w:val="22"/>
          <w:szCs w:val="22"/>
        </w:rPr>
        <w:t xml:space="preserve">Revenue Line Chart</w:t>
      </w:r>
    </w:p>
    <w:p>
      <w:pPr>
        <w:pStyle w:val="ListParagraph"/>
        <w:numPr>
          <w:ilvl w:val="0"/>
          <w:numId w:val="2"/>
        </w:numPr>
        <w:spacing w:after="55" w:before="40"/>
      </w:pPr>
      <w:r>
        <w:rPr>
          <w:rFonts w:ascii="Arial" w:cs="Arial" w:eastAsia="Arial" w:hAnsi="Arial"/>
          <w:color w:val="111827"/>
          <w:sz w:val="21"/>
          <w:szCs w:val="21"/>
        </w:rPr>
        <w:t xml:space="preserve">Dragged Date onto Columns shelf — set to Month level of granularity</w:t>
      </w:r>
    </w:p>
    <w:p>
      <w:pPr>
        <w:pStyle w:val="ListParagraph"/>
        <w:numPr>
          <w:ilvl w:val="0"/>
          <w:numId w:val="2"/>
        </w:numPr>
        <w:spacing w:after="55" w:before="40"/>
      </w:pPr>
      <w:r>
        <w:rPr>
          <w:rFonts w:ascii="Arial" w:cs="Arial" w:eastAsia="Arial" w:hAnsi="Arial"/>
          <w:color w:val="111827"/>
          <w:sz w:val="21"/>
          <w:szCs w:val="21"/>
        </w:rPr>
        <w:t xml:space="preserve">Dragged Revenue onto Rows shelf — SUM(Revenue) aggregated monthly</w:t>
      </w:r>
    </w:p>
    <w:p>
      <w:pPr>
        <w:pStyle w:val="ListParagraph"/>
        <w:numPr>
          <w:ilvl w:val="0"/>
          <w:numId w:val="2"/>
        </w:numPr>
        <w:spacing w:after="55" w:before="40"/>
      </w:pPr>
      <w:r>
        <w:rPr>
          <w:rFonts w:ascii="Arial" w:cs="Arial" w:eastAsia="Arial" w:hAnsi="Arial"/>
          <w:color w:val="111827"/>
          <w:sz w:val="21"/>
          <w:szCs w:val="21"/>
        </w:rPr>
        <w:t xml:space="preserve">Mark type: Line — Tableau automatically connects monthly data points</w:t>
      </w:r>
    </w:p>
    <w:p>
      <w:pPr>
        <w:pStyle w:val="ListParagraph"/>
        <w:numPr>
          <w:ilvl w:val="0"/>
          <w:numId w:val="2"/>
        </w:numPr>
        <w:spacing w:after="55" w:before="40"/>
      </w:pPr>
      <w:r>
        <w:rPr>
          <w:rFonts w:ascii="Arial" w:cs="Arial" w:eastAsia="Arial" w:hAnsi="Arial"/>
          <w:color w:val="111827"/>
          <w:sz w:val="21"/>
          <w:szCs w:val="21"/>
        </w:rPr>
        <w:t xml:space="preserve">Applied Year Filter so the line updates when the Year Parameter changes</w:t>
      </w:r>
    </w:p>
    <w:p>
      <w:pPr>
        <w:pStyle w:val="ListParagraph"/>
        <w:numPr>
          <w:ilvl w:val="0"/>
          <w:numId w:val="2"/>
        </w:numPr>
        <w:spacing w:after="55" w:before="40"/>
      </w:pPr>
      <w:r>
        <w:rPr>
          <w:rFonts w:ascii="Arial" w:cs="Arial" w:eastAsia="Arial" w:hAnsi="Arial"/>
          <w:color w:val="111827"/>
          <w:sz w:val="21"/>
          <w:szCs w:val="21"/>
        </w:rPr>
        <w:t xml:space="preserve">Added reference lines or trend annotations to highlight peak revenue months</w:t>
      </w:r>
    </w:p>
    <w:p>
      <w:pPr>
        <w:spacing w:after="80" w:before="0"/>
      </w:pPr>
    </w:p>
    <w:p>
      <w:pPr>
        <w:spacing w:after="55" w:before="55"/>
        <w:ind w:left="144"/>
      </w:pPr>
      <w:r>
        <w:rPr>
          <w:rFonts w:ascii="Arial" w:cs="Arial" w:eastAsia="Arial" w:hAnsi="Arial"/>
          <w:b/>
          <w:bCs/>
          <w:color w:val="1B3A6B"/>
          <w:sz w:val="21"/>
          <w:szCs w:val="21"/>
        </w:rPr>
        <w:t xml:space="preserve">Card Visual:  </w:t>
      </w:r>
      <w:r>
        <w:rPr>
          <w:rFonts w:ascii="Arial" w:cs="Arial" w:eastAsia="Arial" w:hAnsi="Arial"/>
          <w:color w:val="111827"/>
          <w:sz w:val="21"/>
          <w:szCs w:val="21"/>
        </w:rPr>
        <w:t xml:space="preserve">Text Mark — SUM(Revenue) for selected year</w:t>
      </w:r>
    </w:p>
    <w:p>
      <w:pPr>
        <w:spacing w:after="55" w:before="55"/>
        <w:ind w:left="144"/>
      </w:pPr>
      <w:r>
        <w:rPr>
          <w:rFonts w:ascii="Arial" w:cs="Arial" w:eastAsia="Arial" w:hAnsi="Arial"/>
          <w:b/>
          <w:bCs/>
          <w:color w:val="1B3A6B"/>
          <w:sz w:val="21"/>
          <w:szCs w:val="21"/>
        </w:rPr>
        <w:t xml:space="preserve">Line X-Axis:  </w:t>
      </w:r>
      <w:r>
        <w:rPr>
          <w:rFonts w:ascii="Arial" w:cs="Arial" w:eastAsia="Arial" w:hAnsi="Arial"/>
          <w:color w:val="111827"/>
          <w:sz w:val="21"/>
          <w:szCs w:val="21"/>
        </w:rPr>
        <w:t xml:space="preserve">Date (Month level) — January through December</w:t>
      </w:r>
    </w:p>
    <w:p>
      <w:pPr>
        <w:spacing w:after="55" w:before="55"/>
        <w:ind w:left="144"/>
      </w:pPr>
      <w:r>
        <w:rPr>
          <w:rFonts w:ascii="Arial" w:cs="Arial" w:eastAsia="Arial" w:hAnsi="Arial"/>
          <w:b/>
          <w:bCs/>
          <w:color w:val="1B3A6B"/>
          <w:sz w:val="21"/>
          <w:szCs w:val="21"/>
        </w:rPr>
        <w:t xml:space="preserve">Line Y-Axis:  </w:t>
      </w:r>
      <w:r>
        <w:rPr>
          <w:rFonts w:ascii="Arial" w:cs="Arial" w:eastAsia="Arial" w:hAnsi="Arial"/>
          <w:color w:val="111827"/>
          <w:sz w:val="21"/>
          <w:szCs w:val="21"/>
        </w:rPr>
        <w:t xml:space="preserve">SUM(Revenue) — monthly revenue aggregation</w:t>
      </w:r>
    </w:p>
    <w:p>
      <w:pPr>
        <w:spacing w:after="55" w:before="55"/>
        <w:ind w:left="144"/>
      </w:pPr>
      <w:r>
        <w:rPr>
          <w:rFonts w:ascii="Arial" w:cs="Arial" w:eastAsia="Arial" w:hAnsi="Arial"/>
          <w:b/>
          <w:bCs/>
          <w:color w:val="1B3A6B"/>
          <w:sz w:val="21"/>
          <w:szCs w:val="21"/>
        </w:rPr>
        <w:t xml:space="preserve">Filter:  </w:t>
      </w:r>
      <w:r>
        <w:rPr>
          <w:rFonts w:ascii="Arial" w:cs="Arial" w:eastAsia="Arial" w:hAnsi="Arial"/>
          <w:color w:val="111827"/>
          <w:sz w:val="21"/>
          <w:szCs w:val="21"/>
        </w:rPr>
        <w:t xml:space="preserve">Year Filter — updates both card and line chart together</w:t>
      </w:r>
    </w:p>
    <w:p>
      <w:pPr>
        <w:spacing w:after="55" w:before="55"/>
        <w:ind w:left="144"/>
      </w:pPr>
      <w:r>
        <w:rPr>
          <w:rFonts w:ascii="Arial" w:cs="Arial" w:eastAsia="Arial" w:hAnsi="Arial"/>
          <w:b/>
          <w:bCs/>
          <w:color w:val="1B3A6B"/>
          <w:sz w:val="21"/>
          <w:szCs w:val="21"/>
        </w:rPr>
        <w:t xml:space="preserve">Use on Dash:  </w:t>
      </w:r>
      <w:r>
        <w:rPr>
          <w:rFonts w:ascii="Arial" w:cs="Arial" w:eastAsia="Arial" w:hAnsi="Arial"/>
          <w:color w:val="111827"/>
          <w:sz w:val="21"/>
          <w:szCs w:val="21"/>
        </w:rPr>
        <w:t xml:space="preserve">Top KPI band of dashboard — revenue card next to profit card</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09</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Sheet 7 — Product Category Cost Card</w:t>
            </w:r>
          </w:p>
          <w:p>
            <w:pPr>
              <w:spacing w:after="0" w:before="0"/>
            </w:pPr>
            <w:r>
              <w:rPr>
                <w:rFonts w:ascii="Arial" w:cs="Arial" w:eastAsia="Arial" w:hAnsi="Arial"/>
                <w:i/>
                <w:iCs/>
                <w:color w:val="4B5563"/>
                <w:sz w:val="19"/>
                <w:szCs w:val="19"/>
              </w:rPr>
              <w:t xml:space="preserve">Lesson 137  ·  Cost breakdown by Product Category displayed as a text table</w:t>
            </w:r>
          </w:p>
        </w:tc>
      </w:tr>
    </w:tbl>
    <w:p>
      <w:pPr>
        <w:spacing w:after="120" w:before="0"/>
      </w:pPr>
    </w:p>
    <w:p>
      <w:pPr>
        <w:spacing w:after="90" w:before="60"/>
        <w:jc w:val="both"/>
      </w:pPr>
      <w:r>
        <w:rPr>
          <w:rFonts w:ascii="Arial" w:cs="Arial" w:eastAsia="Arial" w:hAnsi="Arial"/>
          <w:color w:val="111827"/>
          <w:sz w:val="21"/>
          <w:szCs w:val="21"/>
        </w:rPr>
        <w:t xml:space="preserve">The Cost Card provides a breakdown of total cost by Product Category (Accessories, Bikes, Clothing). This text-based view complements the profit and revenue cards by showing the cost side of the P&amp;L equation, helping users understand margin by category.</w:t>
      </w:r>
    </w:p>
    <w:p>
      <w:pPr>
        <w:spacing w:after="80" w:before="0"/>
      </w:pPr>
    </w:p>
    <w:p>
      <w:pPr>
        <w:pStyle w:val="Heading3"/>
      </w:pPr>
      <w:r>
        <w:rPr>
          <w:rFonts w:ascii="Arial" w:cs="Arial" w:eastAsia="Arial" w:hAnsi="Arial"/>
          <w:b/>
          <w:bCs/>
          <w:color w:val="111827"/>
          <w:sz w:val="22"/>
          <w:szCs w:val="22"/>
        </w:rPr>
        <w:t xml:space="preserve">Build Steps</w:t>
      </w:r>
    </w:p>
    <w:p>
      <w:pPr>
        <w:pStyle w:val="ListParagraph"/>
        <w:numPr>
          <w:ilvl w:val="0"/>
          <w:numId w:val="2"/>
        </w:numPr>
        <w:spacing w:after="55" w:before="40"/>
      </w:pPr>
      <w:r>
        <w:rPr>
          <w:rFonts w:ascii="Arial" w:cs="Arial" w:eastAsia="Arial" w:hAnsi="Arial"/>
          <w:color w:val="111827"/>
          <w:sz w:val="21"/>
          <w:szCs w:val="21"/>
        </w:rPr>
        <w:t xml:space="preserve">Dragged Product Category (Dimension) onto Rows shelf</w:t>
      </w:r>
    </w:p>
    <w:p>
      <w:pPr>
        <w:pStyle w:val="ListParagraph"/>
        <w:numPr>
          <w:ilvl w:val="0"/>
          <w:numId w:val="2"/>
        </w:numPr>
        <w:spacing w:after="55" w:before="40"/>
      </w:pPr>
      <w:r>
        <w:rPr>
          <w:rFonts w:ascii="Arial" w:cs="Arial" w:eastAsia="Arial" w:hAnsi="Arial"/>
          <w:color w:val="111827"/>
          <w:sz w:val="21"/>
          <w:szCs w:val="21"/>
        </w:rPr>
        <w:t xml:space="preserve">Dragged SUM(Cost) onto the Text shelf (Mark type: Automatic/Text)</w:t>
      </w:r>
    </w:p>
    <w:p>
      <w:pPr>
        <w:pStyle w:val="ListParagraph"/>
        <w:numPr>
          <w:ilvl w:val="0"/>
          <w:numId w:val="2"/>
        </w:numPr>
        <w:spacing w:after="55" w:before="40"/>
      </w:pPr>
      <w:r>
        <w:rPr>
          <w:rFonts w:ascii="Arial" w:cs="Arial" w:eastAsia="Arial" w:hAnsi="Arial"/>
          <w:color w:val="111827"/>
          <w:sz w:val="21"/>
          <w:szCs w:val="21"/>
        </w:rPr>
        <w:t xml:space="preserve">Applied Year Filter to synchronize with the Year Parameter</w:t>
      </w:r>
    </w:p>
    <w:p>
      <w:pPr>
        <w:pStyle w:val="ListParagraph"/>
        <w:numPr>
          <w:ilvl w:val="0"/>
          <w:numId w:val="2"/>
        </w:numPr>
        <w:spacing w:after="55" w:before="40"/>
      </w:pPr>
      <w:r>
        <w:rPr>
          <w:rFonts w:ascii="Arial" w:cs="Arial" w:eastAsia="Arial" w:hAnsi="Arial"/>
          <w:color w:val="111827"/>
          <w:sz w:val="21"/>
          <w:szCs w:val="21"/>
        </w:rPr>
        <w:t xml:space="preserve">Formatted cost values with currency formatting consistent with other KPI cards</w:t>
      </w:r>
    </w:p>
    <w:p>
      <w:pPr>
        <w:pStyle w:val="ListParagraph"/>
        <w:numPr>
          <w:ilvl w:val="0"/>
          <w:numId w:val="2"/>
        </w:numPr>
        <w:spacing w:after="55" w:before="40"/>
      </w:pPr>
      <w:r>
        <w:rPr>
          <w:rFonts w:ascii="Arial" w:cs="Arial" w:eastAsia="Arial" w:hAnsi="Arial"/>
          <w:color w:val="111827"/>
          <w:sz w:val="21"/>
          <w:szCs w:val="21"/>
        </w:rPr>
        <w:t xml:space="preserve">Kept the layout as a compact vertical list to fit neatly in the dashboard layout</w:t>
      </w:r>
    </w:p>
    <w:p>
      <w:pPr>
        <w:spacing w:after="80" w:before="0"/>
      </w:pPr>
    </w:p>
    <w:p>
      <w:pPr>
        <w:spacing w:after="55" w:before="55"/>
        <w:ind w:left="144"/>
      </w:pPr>
      <w:r>
        <w:rPr>
          <w:rFonts w:ascii="Arial" w:cs="Arial" w:eastAsia="Arial" w:hAnsi="Arial"/>
          <w:b/>
          <w:bCs/>
          <w:color w:val="1B3A6B"/>
          <w:sz w:val="21"/>
          <w:szCs w:val="21"/>
        </w:rPr>
        <w:t xml:space="preserve">Visual Type:  </w:t>
      </w:r>
      <w:r>
        <w:rPr>
          <w:rFonts w:ascii="Arial" w:cs="Arial" w:eastAsia="Arial" w:hAnsi="Arial"/>
          <w:color w:val="111827"/>
          <w:sz w:val="21"/>
          <w:szCs w:val="21"/>
        </w:rPr>
        <w:t xml:space="preserve">Text Table / KPI Card (Mark type: Automatic)</w:t>
      </w:r>
    </w:p>
    <w:p>
      <w:pPr>
        <w:spacing w:after="55" w:before="55"/>
        <w:ind w:left="144"/>
      </w:pPr>
      <w:r>
        <w:rPr>
          <w:rFonts w:ascii="Arial" w:cs="Arial" w:eastAsia="Arial" w:hAnsi="Arial"/>
          <w:b/>
          <w:bCs/>
          <w:color w:val="1B3A6B"/>
          <w:sz w:val="21"/>
          <w:szCs w:val="21"/>
        </w:rPr>
        <w:t xml:space="preserve">Rows:  </w:t>
      </w:r>
      <w:r>
        <w:rPr>
          <w:rFonts w:ascii="Arial" w:cs="Arial" w:eastAsia="Arial" w:hAnsi="Arial"/>
          <w:color w:val="111827"/>
          <w:sz w:val="21"/>
          <w:szCs w:val="21"/>
        </w:rPr>
        <w:t xml:space="preserve">Product Category (Accessories, Bikes, Clothing)</w:t>
      </w:r>
    </w:p>
    <w:p>
      <w:pPr>
        <w:spacing w:after="55" w:before="55"/>
        <w:ind w:left="144"/>
      </w:pPr>
      <w:r>
        <w:rPr>
          <w:rFonts w:ascii="Arial" w:cs="Arial" w:eastAsia="Arial" w:hAnsi="Arial"/>
          <w:b/>
          <w:bCs/>
          <w:color w:val="1B3A6B"/>
          <w:sz w:val="21"/>
          <w:szCs w:val="21"/>
        </w:rPr>
        <w:t xml:space="preserve">Values:  </w:t>
      </w:r>
      <w:r>
        <w:rPr>
          <w:rFonts w:ascii="Arial" w:cs="Arial" w:eastAsia="Arial" w:hAnsi="Arial"/>
          <w:color w:val="111827"/>
          <w:sz w:val="21"/>
          <w:szCs w:val="21"/>
        </w:rPr>
        <w:t xml:space="preserve">SUM(Cost) per category</w:t>
      </w:r>
    </w:p>
    <w:p>
      <w:pPr>
        <w:spacing w:after="55" w:before="55"/>
        <w:ind w:left="144"/>
      </w:pPr>
      <w:r>
        <w:rPr>
          <w:rFonts w:ascii="Arial" w:cs="Arial" w:eastAsia="Arial" w:hAnsi="Arial"/>
          <w:b/>
          <w:bCs/>
          <w:color w:val="1B3A6B"/>
          <w:sz w:val="21"/>
          <w:szCs w:val="21"/>
        </w:rPr>
        <w:t xml:space="preserve">Filter:  </w:t>
      </w:r>
      <w:r>
        <w:rPr>
          <w:rFonts w:ascii="Arial" w:cs="Arial" w:eastAsia="Arial" w:hAnsi="Arial"/>
          <w:color w:val="111827"/>
          <w:sz w:val="21"/>
          <w:szCs w:val="21"/>
        </w:rPr>
        <w:t xml:space="preserve">Year Filter calculated field</w:t>
      </w:r>
    </w:p>
    <w:p>
      <w:pPr>
        <w:spacing w:after="55" w:before="55"/>
        <w:ind w:left="144"/>
      </w:pPr>
      <w:r>
        <w:rPr>
          <w:rFonts w:ascii="Arial" w:cs="Arial" w:eastAsia="Arial" w:hAnsi="Arial"/>
          <w:b/>
          <w:bCs/>
          <w:color w:val="1B3A6B"/>
          <w:sz w:val="21"/>
          <w:szCs w:val="21"/>
        </w:rPr>
        <w:t xml:space="preserve">Use on Dash:  </w:t>
      </w:r>
      <w:r>
        <w:rPr>
          <w:rFonts w:ascii="Arial" w:cs="Arial" w:eastAsia="Arial" w:hAnsi="Arial"/>
          <w:color w:val="111827"/>
          <w:sz w:val="21"/>
          <w:szCs w:val="21"/>
        </w:rPr>
        <w:t xml:space="preserve">Sidebar panel — shows cost by category next to revenue and profit cards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
        <w:gridCol w:w="9259"/>
      </w:tblGrid>
      <w:tr>
        <w:tc>
          <w:tcPr>
            <w:tcW w:type="dxa" w:w="101"/>
            <w:tcBorders>
              <w:top w:val="single" w:color="FFFFFF" w:sz="0"/>
              <w:left w:val="single" w:color="FFFFFF" w:sz="0"/>
              <w:bottom w:val="single" w:color="FFFFFF" w:sz="0"/>
              <w:right w:val="single" w:color="FFFFFF" w:sz="0"/>
            </w:tcBorders>
            <w:shd w:fill="2563EB" w:val="clear"/>
            <w:tcMar>
              <w:top w:type="dxa" w:w="0"/>
              <w:left w:type="dxa" w:w="0"/>
              <w:bottom w:type="dxa" w:w="0"/>
              <w:right w:type="dxa" w:w="0"/>
            </w:tcMar>
          </w:tcPr>
          <w:p/>
        </w:tc>
        <w:tc>
          <w:tcPr>
            <w:tcW w:type="dxa" w:w="9259"/>
            <w:tcBorders>
              <w:top w:val="single" w:color="FFFFFF" w:sz="0"/>
              <w:left w:val="single" w:color="FFFFFF" w:sz="0"/>
              <w:bottom w:val="single" w:color="FFFFFF" w:sz="0"/>
              <w:right w:val="single" w:color="FFFFFF" w:sz="0"/>
            </w:tcBorders>
            <w:shd w:fill="FEF3C7" w:val="clear"/>
            <w:tcMar>
              <w:top w:type="dxa" w:w="90"/>
              <w:left w:type="dxa" w:w="216"/>
              <w:bottom w:type="dxa" w:w="90"/>
              <w:right w:type="dxa" w:w="173"/>
            </w:tcMar>
          </w:tcPr>
          <w:p>
            <w:pPr>
              <w:spacing w:after="40" w:before="0"/>
            </w:pPr>
            <w:r>
              <w:rPr>
                <w:rFonts w:ascii="Arial" w:cs="Arial" w:eastAsia="Arial" w:hAnsi="Arial"/>
                <w:b/>
                <w:bCs/>
                <w:color w:val="D97706"/>
                <w:sz w:val="21"/>
                <w:szCs w:val="21"/>
              </w:rPr>
              <w:t xml:space="preserve">💡 Business Value</w:t>
            </w:r>
          </w:p>
          <w:p>
            <w:pPr>
              <w:spacing w:after="0" w:before="0"/>
            </w:pPr>
            <w:r>
              <w:rPr>
                <w:rFonts w:ascii="Arial" w:cs="Arial" w:eastAsia="Arial" w:hAnsi="Arial"/>
                <w:i/>
                <w:iCs/>
                <w:color w:val="4B5563"/>
                <w:sz w:val="20"/>
                <w:szCs w:val="20"/>
              </w:rPr>
              <w:t xml:space="preserve">Bikes typically carry the highest unit cost and revenue. Comparing cost across Accessories, Bikes, and Clothing identifies which category has the best margin efficiency and where cost reduction efforts should focus.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8496"/>
      </w:tblGrid>
      <w:tr>
        <w:tc>
          <w:tcPr>
            <w:tcW w:type="dxa" w:w="864"/>
            <w:tcBorders>
              <w:top w:val="single" w:color="FFFFFF" w:sz="0"/>
              <w:left w:val="single" w:color="FFFFFF" w:sz="0"/>
              <w:bottom w:val="single" w:color="FFFFFF" w:sz="0"/>
              <w:right w:val="single" w:color="FFFFFF" w:sz="0"/>
            </w:tcBorders>
            <w:shd w:fill="1B3A6B" w:val="clear"/>
            <w:tcMar>
              <w:top w:type="dxa" w:w="120"/>
              <w:left w:type="dxa" w:w="120"/>
              <w:bottom w:type="dxa" w:w="120"/>
              <w:right w:type="dxa" w:w="100"/>
            </w:tcMar>
            <w:vAlign w:val="center"/>
          </w:tcPr>
          <w:p>
            <w:pPr>
              <w:spacing w:after="30" w:before="0"/>
              <w:jc w:val="center"/>
            </w:pPr>
            <w:r>
              <w:rPr>
                <w:rFonts w:ascii="Arial" w:cs="Arial" w:eastAsia="Arial" w:hAnsi="Arial"/>
                <w:b/>
                <w:bCs/>
                <w:color w:val="AACEF5"/>
                <w:sz w:val="15"/>
                <w:szCs w:val="15"/>
              </w:rPr>
              <w:t xml:space="preserve">STEP</w:t>
            </w:r>
          </w:p>
          <w:p>
            <w:pPr>
              <w:spacing w:after="0" w:before="0"/>
              <w:jc w:val="center"/>
            </w:pPr>
            <w:r>
              <w:rPr>
                <w:rFonts w:ascii="Arial" w:cs="Arial" w:eastAsia="Arial" w:hAnsi="Arial"/>
                <w:b/>
                <w:bCs/>
                <w:color w:val="FFFFFF"/>
                <w:sz w:val="38"/>
                <w:szCs w:val="38"/>
              </w:rPr>
              <w:t xml:space="preserve">10</w:t>
            </w:r>
          </w:p>
        </w:tc>
        <w:tc>
          <w:tcPr>
            <w:tcW w:type="dxa" w:w="8496"/>
            <w:tcBorders>
              <w:top w:val="single" w:color="FFFFFF" w:sz="0"/>
              <w:left w:val="single" w:color="FFFFFF" w:sz="0"/>
              <w:bottom w:val="single" w:color="FFFFFF" w:sz="0"/>
              <w:right w:val="single" w:color="FFFFFF" w:sz="0"/>
            </w:tcBorders>
            <w:shd w:fill="EFF6FF" w:val="clear"/>
            <w:tcMar>
              <w:top w:type="dxa" w:w="110"/>
              <w:left w:type="dxa" w:w="259"/>
              <w:bottom w:type="dxa" w:w="110"/>
              <w:right w:type="dxa" w:w="120"/>
            </w:tcMar>
            <w:vAlign w:val="center"/>
          </w:tcPr>
          <w:p>
            <w:pPr>
              <w:spacing w:after="35" w:before="0"/>
            </w:pPr>
            <w:r>
              <w:rPr>
                <w:rFonts w:ascii="Arial" w:cs="Arial" w:eastAsia="Arial" w:hAnsi="Arial"/>
                <w:b/>
                <w:bCs/>
                <w:color w:val="1B3A6B"/>
                <w:sz w:val="27"/>
                <w:szCs w:val="27"/>
              </w:rPr>
              <w:t xml:space="preserve">Dashboard Assembly — Sales Dashboard</w:t>
            </w:r>
          </w:p>
          <w:p>
            <w:pPr>
              <w:spacing w:after="0" w:before="0"/>
            </w:pPr>
            <w:r>
              <w:rPr>
                <w:rFonts w:ascii="Arial" w:cs="Arial" w:eastAsia="Arial" w:hAnsi="Arial"/>
                <w:i/>
                <w:iCs/>
                <w:color w:val="4B5563"/>
                <w:sz w:val="19"/>
                <w:szCs w:val="19"/>
              </w:rPr>
              <w:t xml:space="preserve">Lessons 138 &amp; 139  ·  Assembling all sheets into a single interactive dashboard</w:t>
            </w:r>
          </w:p>
        </w:tc>
      </w:tr>
    </w:tbl>
    <w:p>
      <w:pPr>
        <w:spacing w:after="120" w:before="0"/>
      </w:pPr>
    </w:p>
    <w:p>
      <w:pPr>
        <w:spacing w:after="90" w:before="60"/>
        <w:jc w:val="both"/>
      </w:pPr>
      <w:r>
        <w:rPr>
          <w:rFonts w:ascii="Arial" w:cs="Arial" w:eastAsia="Arial" w:hAnsi="Arial"/>
          <w:color w:val="111827"/>
          <w:sz w:val="21"/>
          <w:szCs w:val="21"/>
        </w:rPr>
        <w:t xml:space="preserve">The final step combines all nine worksheets into a single cohesive dashboard named 'Sales Dashboard'. The assembly process involves dragging sheets onto a layout canvas, configuring filters as global actions, connecting the Year Parameter to all sheets, and applying consistent formatting.</w:t>
      </w:r>
    </w:p>
    <w:p>
      <w:pPr>
        <w:spacing w:after="80" w:before="0"/>
      </w:pPr>
    </w:p>
    <w:p>
      <w:pPr>
        <w:pStyle w:val="Heading3"/>
      </w:pPr>
      <w:r>
        <w:rPr>
          <w:rFonts w:ascii="Arial" w:cs="Arial" w:eastAsia="Arial" w:hAnsi="Arial"/>
          <w:b/>
          <w:bCs/>
          <w:color w:val="111827"/>
          <w:sz w:val="22"/>
          <w:szCs w:val="22"/>
        </w:rPr>
        <w:t xml:space="preserve">Dashboard Layout — Zone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68"/>
        <w:gridCol w:w="4032"/>
      </w:tblGrid>
      <w:tr>
        <w:tc>
          <w:tcPr>
            <w:tcW w:type="dxa" w:w="2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Zone / Position</w:t>
            </w:r>
          </w:p>
        </w:tc>
        <w:tc>
          <w:tcPr>
            <w:tcW w:type="dxa" w:w="3168"/>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Sheet</w:t>
            </w:r>
          </w:p>
        </w:tc>
        <w:tc>
          <w:tcPr>
            <w:tcW w:type="dxa" w:w="4032"/>
            <w:tcBorders>
              <w:top w:val="single" w:color="1B3A6B" w:sz="4"/>
              <w:left w:val="single" w:color="1B3A6B" w:sz="4"/>
              <w:bottom w:val="single" w:color="1B3A6B" w:sz="4"/>
              <w:right w:val="single" w:color="1B3A6B" w:sz="4"/>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2160"/>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b/>
                <w:bCs/>
                <w:color w:val="1B3A6B"/>
                <w:sz w:val="19"/>
                <w:szCs w:val="19"/>
              </w:rPr>
              <w:t xml:space="preserve">Top KPI Band</w:t>
            </w:r>
          </w:p>
        </w:tc>
        <w:tc>
          <w:tcPr>
            <w:tcW w:type="dxa" w:w="3168"/>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111827"/>
                <w:sz w:val="19"/>
                <w:szCs w:val="19"/>
              </w:rPr>
              <w:t xml:space="preserve">Profit Card + YoY %</w:t>
            </w:r>
          </w:p>
        </w:tc>
        <w:tc>
          <w:tcPr>
            <w:tcW w:type="dxa" w:w="4032"/>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4B5563"/>
                <w:sz w:val="19"/>
                <w:szCs w:val="19"/>
              </w:rPr>
              <w:t xml:space="preserve">At-a-glance profit performance</w:t>
            </w:r>
          </w:p>
        </w:tc>
      </w:tr>
      <w:tr>
        <w:tc>
          <w:tcPr>
            <w:tcW w:type="dxa" w:w="2160"/>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b/>
                <w:bCs/>
                <w:color w:val="1B3A6B"/>
                <w:sz w:val="19"/>
                <w:szCs w:val="19"/>
              </w:rPr>
              <w:t xml:space="preserve">Top KPI Band</w:t>
            </w:r>
          </w:p>
        </w:tc>
        <w:tc>
          <w:tcPr>
            <w:tcW w:type="dxa" w:w="3168"/>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111827"/>
                <w:sz w:val="19"/>
                <w:szCs w:val="19"/>
              </w:rPr>
              <w:t xml:space="preserve">Revenue Card</w:t>
            </w:r>
          </w:p>
        </w:tc>
        <w:tc>
          <w:tcPr>
            <w:tcW w:type="dxa" w:w="4032"/>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4B5563"/>
                <w:sz w:val="19"/>
                <w:szCs w:val="19"/>
              </w:rPr>
              <w:t xml:space="preserve">Total revenue for selected year</w:t>
            </w:r>
          </w:p>
        </w:tc>
      </w:tr>
      <w:tr>
        <w:tc>
          <w:tcPr>
            <w:tcW w:type="dxa" w:w="2160"/>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b/>
                <w:bCs/>
                <w:color w:val="1B3A6B"/>
                <w:sz w:val="19"/>
                <w:szCs w:val="19"/>
              </w:rPr>
              <w:t xml:space="preserve">Top KPI Band</w:t>
            </w:r>
          </w:p>
        </w:tc>
        <w:tc>
          <w:tcPr>
            <w:tcW w:type="dxa" w:w="3168"/>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111827"/>
                <w:sz w:val="19"/>
                <w:szCs w:val="19"/>
              </w:rPr>
              <w:t xml:space="preserve">Cost Card</w:t>
            </w:r>
          </w:p>
        </w:tc>
        <w:tc>
          <w:tcPr>
            <w:tcW w:type="dxa" w:w="4032"/>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4B5563"/>
                <w:sz w:val="19"/>
                <w:szCs w:val="19"/>
              </w:rPr>
              <w:t xml:space="preserve">Cost breakdown by category</w:t>
            </w:r>
          </w:p>
        </w:tc>
      </w:tr>
      <w:tr>
        <w:tc>
          <w:tcPr>
            <w:tcW w:type="dxa" w:w="2160"/>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b/>
                <w:bCs/>
                <w:color w:val="1B3A6B"/>
                <w:sz w:val="19"/>
                <w:szCs w:val="19"/>
              </w:rPr>
              <w:t xml:space="preserve">Top Left</w:t>
            </w:r>
          </w:p>
        </w:tc>
        <w:tc>
          <w:tcPr>
            <w:tcW w:type="dxa" w:w="3168"/>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111827"/>
                <w:sz w:val="19"/>
                <w:szCs w:val="19"/>
              </w:rPr>
              <w:t xml:space="preserve">Top 10 Products</w:t>
            </w:r>
          </w:p>
        </w:tc>
        <w:tc>
          <w:tcPr>
            <w:tcW w:type="dxa" w:w="4032"/>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4B5563"/>
                <w:sz w:val="19"/>
                <w:szCs w:val="19"/>
              </w:rPr>
              <w:t xml:space="preserve">Best-selling products bar chart</w:t>
            </w:r>
          </w:p>
        </w:tc>
      </w:tr>
      <w:tr>
        <w:tc>
          <w:tcPr>
            <w:tcW w:type="dxa" w:w="2160"/>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b/>
                <w:bCs/>
                <w:color w:val="1B3A6B"/>
                <w:sz w:val="19"/>
                <w:szCs w:val="19"/>
              </w:rPr>
              <w:t xml:space="preserve">Top Right</w:t>
            </w:r>
          </w:p>
        </w:tc>
        <w:tc>
          <w:tcPr>
            <w:tcW w:type="dxa" w:w="3168"/>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111827"/>
                <w:sz w:val="19"/>
                <w:szCs w:val="19"/>
              </w:rPr>
              <w:t xml:space="preserve">Revenue Line Chart</w:t>
            </w:r>
          </w:p>
        </w:tc>
        <w:tc>
          <w:tcPr>
            <w:tcW w:type="dxa" w:w="4032"/>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4B5563"/>
                <w:sz w:val="19"/>
                <w:szCs w:val="19"/>
              </w:rPr>
              <w:t xml:space="preserve">Monthly revenue trend</w:t>
            </w:r>
          </w:p>
        </w:tc>
      </w:tr>
      <w:tr>
        <w:tc>
          <w:tcPr>
            <w:tcW w:type="dxa" w:w="2160"/>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b/>
                <w:bCs/>
                <w:color w:val="1B3A6B"/>
                <w:sz w:val="19"/>
                <w:szCs w:val="19"/>
              </w:rPr>
              <w:t xml:space="preserve">Middle Left</w:t>
            </w:r>
          </w:p>
        </w:tc>
        <w:tc>
          <w:tcPr>
            <w:tcW w:type="dxa" w:w="3168"/>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111827"/>
                <w:sz w:val="19"/>
                <w:szCs w:val="19"/>
              </w:rPr>
              <w:t xml:space="preserve">Age Group Bubble Chart</w:t>
            </w:r>
          </w:p>
        </w:tc>
        <w:tc>
          <w:tcPr>
            <w:tcW w:type="dxa" w:w="4032"/>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4B5563"/>
                <w:sz w:val="19"/>
                <w:szCs w:val="19"/>
              </w:rPr>
              <w:t xml:space="preserve">Revenue by customer age segment</w:t>
            </w:r>
          </w:p>
        </w:tc>
      </w:tr>
      <w:tr>
        <w:tc>
          <w:tcPr>
            <w:tcW w:type="dxa" w:w="2160"/>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b/>
                <w:bCs/>
                <w:color w:val="1B3A6B"/>
                <w:sz w:val="19"/>
                <w:szCs w:val="19"/>
              </w:rPr>
              <w:t xml:space="preserve">Middle Center</w:t>
            </w:r>
          </w:p>
        </w:tc>
        <w:tc>
          <w:tcPr>
            <w:tcW w:type="dxa" w:w="3168"/>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111827"/>
                <w:sz w:val="19"/>
                <w:szCs w:val="19"/>
              </w:rPr>
              <w:t xml:space="preserve">Sub Category Bar Chart</w:t>
            </w:r>
          </w:p>
        </w:tc>
        <w:tc>
          <w:tcPr>
            <w:tcW w:type="dxa" w:w="4032"/>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4B5563"/>
                <w:sz w:val="19"/>
                <w:szCs w:val="19"/>
              </w:rPr>
              <w:t xml:space="preserve">Profit by product sub-category</w:t>
            </w:r>
          </w:p>
        </w:tc>
      </w:tr>
      <w:tr>
        <w:tc>
          <w:tcPr>
            <w:tcW w:type="dxa" w:w="2160"/>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b/>
                <w:bCs/>
                <w:color w:val="1B3A6B"/>
                <w:sz w:val="19"/>
                <w:szCs w:val="19"/>
              </w:rPr>
              <w:t xml:space="preserve">Bottom Right</w:t>
            </w:r>
          </w:p>
        </w:tc>
        <w:tc>
          <w:tcPr>
            <w:tcW w:type="dxa" w:w="3168"/>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111827"/>
                <w:sz w:val="19"/>
                <w:szCs w:val="19"/>
              </w:rPr>
              <w:t xml:space="preserve">Map</w:t>
            </w:r>
          </w:p>
        </w:tc>
        <w:tc>
          <w:tcPr>
            <w:tcW w:type="dxa" w:w="4032"/>
            <w:tcBorders>
              <w:top w:val="single" w:color="E5E7EB" w:sz="4"/>
              <w:left w:val="single" w:color="E5E7EB" w:sz="4"/>
              <w:bottom w:val="single" w:color="E5E7EB" w:sz="4"/>
              <w:right w:val="single" w:color="E5E7EB" w:sz="4"/>
            </w:tcBorders>
            <w:shd w:fill="FFFFFF" w:val="clear"/>
            <w:tcMar>
              <w:top w:type="dxa" w:w="65"/>
              <w:left w:type="dxa" w:w="120"/>
              <w:bottom w:type="dxa" w:w="65"/>
              <w:right w:type="dxa" w:w="80"/>
            </w:tcMar>
          </w:tcPr>
          <w:p>
            <w:r>
              <w:rPr>
                <w:rFonts w:ascii="Arial" w:cs="Arial" w:eastAsia="Arial" w:hAnsi="Arial"/>
                <w:color w:val="4B5563"/>
                <w:sz w:val="19"/>
                <w:szCs w:val="19"/>
              </w:rPr>
              <w:t xml:space="preserve">Geographic profit by country</w:t>
            </w:r>
          </w:p>
        </w:tc>
      </w:tr>
      <w:tr>
        <w:tc>
          <w:tcPr>
            <w:tcW w:type="dxa" w:w="2160"/>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b/>
                <w:bCs/>
                <w:color w:val="1B3A6B"/>
                <w:sz w:val="19"/>
                <w:szCs w:val="19"/>
              </w:rPr>
              <w:t xml:space="preserve">Control (floating)</w:t>
            </w:r>
          </w:p>
        </w:tc>
        <w:tc>
          <w:tcPr>
            <w:tcW w:type="dxa" w:w="3168"/>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111827"/>
                <w:sz w:val="19"/>
                <w:szCs w:val="19"/>
              </w:rPr>
              <w:t xml:space="preserve">Year Parameter</w:t>
            </w:r>
          </w:p>
        </w:tc>
        <w:tc>
          <w:tcPr>
            <w:tcW w:type="dxa" w:w="4032"/>
            <w:tcBorders>
              <w:top w:val="single" w:color="E5E7EB" w:sz="4"/>
              <w:left w:val="single" w:color="E5E7EB" w:sz="4"/>
              <w:bottom w:val="single" w:color="E5E7EB" w:sz="4"/>
              <w:right w:val="single" w:color="E5E7EB" w:sz="4"/>
            </w:tcBorders>
            <w:shd w:fill="EFF6FF" w:val="clear"/>
            <w:tcMar>
              <w:top w:type="dxa" w:w="65"/>
              <w:left w:type="dxa" w:w="120"/>
              <w:bottom w:type="dxa" w:w="65"/>
              <w:right w:type="dxa" w:w="80"/>
            </w:tcMar>
          </w:tcPr>
          <w:p>
            <w:r>
              <w:rPr>
                <w:rFonts w:ascii="Arial" w:cs="Arial" w:eastAsia="Arial" w:hAnsi="Arial"/>
                <w:color w:val="4B5563"/>
                <w:sz w:val="19"/>
                <w:szCs w:val="19"/>
              </w:rPr>
              <w:t xml:space="preserve">Year selector controlling all sheets</w:t>
            </w:r>
          </w:p>
        </w:tc>
      </w:tr>
    </w:tbl>
    <w:p>
      <w:pPr>
        <w:spacing w:after="100" w:before="0"/>
      </w:pPr>
    </w:p>
    <w:p>
      <w:pPr>
        <w:pStyle w:val="Heading3"/>
      </w:pPr>
      <w:r>
        <w:rPr>
          <w:rFonts w:ascii="Arial" w:cs="Arial" w:eastAsia="Arial" w:hAnsi="Arial"/>
          <w:b/>
          <w:bCs/>
          <w:color w:val="111827"/>
          <w:sz w:val="22"/>
          <w:szCs w:val="22"/>
        </w:rPr>
        <w:t xml:space="preserve">Assembly Steps</w:t>
      </w:r>
    </w:p>
    <w:p>
      <w:pPr>
        <w:pStyle w:val="ListParagraph"/>
        <w:numPr>
          <w:ilvl w:val="0"/>
          <w:numId w:val="2"/>
        </w:numPr>
        <w:spacing w:after="55" w:before="40"/>
      </w:pPr>
      <w:r>
        <w:rPr>
          <w:rFonts w:ascii="Arial" w:cs="Arial" w:eastAsia="Arial" w:hAnsi="Arial"/>
          <w:color w:val="111827"/>
          <w:sz w:val="21"/>
          <w:szCs w:val="21"/>
        </w:rPr>
        <w:t xml:space="preserve">Created a new Dashboard sheet — set size to Automatic or fixed pixel dimensions</w:t>
      </w:r>
    </w:p>
    <w:p>
      <w:pPr>
        <w:pStyle w:val="ListParagraph"/>
        <w:numPr>
          <w:ilvl w:val="0"/>
          <w:numId w:val="2"/>
        </w:numPr>
        <w:spacing w:after="55" w:before="40"/>
      </w:pPr>
      <w:r>
        <w:rPr>
          <w:rFonts w:ascii="Arial" w:cs="Arial" w:eastAsia="Arial" w:hAnsi="Arial"/>
          <w:color w:val="111827"/>
          <w:sz w:val="21"/>
          <w:szCs w:val="21"/>
        </w:rPr>
        <w:t xml:space="preserve">Dragged worksheets from the Sheets panel onto the canvas in the layout order shown above</w:t>
      </w:r>
    </w:p>
    <w:p>
      <w:pPr>
        <w:pStyle w:val="ListParagraph"/>
        <w:numPr>
          <w:ilvl w:val="0"/>
          <w:numId w:val="2"/>
        </w:numPr>
        <w:spacing w:after="55" w:before="40"/>
      </w:pPr>
      <w:r>
        <w:rPr>
          <w:rFonts w:ascii="Arial" w:cs="Arial" w:eastAsia="Arial" w:hAnsi="Arial"/>
          <w:color w:val="111827"/>
          <w:sz w:val="21"/>
          <w:szCs w:val="21"/>
        </w:rPr>
        <w:t xml:space="preserve">Used Horizontal and Vertical Layout containers to create structured rows and columns</w:t>
      </w:r>
    </w:p>
    <w:p>
      <w:pPr>
        <w:pStyle w:val="ListParagraph"/>
        <w:numPr>
          <w:ilvl w:val="0"/>
          <w:numId w:val="2"/>
        </w:numPr>
        <w:spacing w:after="55" w:before="40"/>
      </w:pPr>
      <w:r>
        <w:rPr>
          <w:rFonts w:ascii="Arial" w:cs="Arial" w:eastAsia="Arial" w:hAnsi="Arial"/>
          <w:color w:val="111827"/>
          <w:sz w:val="21"/>
          <w:szCs w:val="21"/>
        </w:rPr>
        <w:t xml:space="preserve">Added the Year Parameter control (Show Parameter) as a floating element or in the filter bar</w:t>
      </w:r>
    </w:p>
    <w:p>
      <w:pPr>
        <w:pStyle w:val="ListParagraph"/>
        <w:numPr>
          <w:ilvl w:val="0"/>
          <w:numId w:val="2"/>
        </w:numPr>
        <w:spacing w:after="55" w:before="40"/>
      </w:pPr>
      <w:r>
        <w:rPr>
          <w:rFonts w:ascii="Arial" w:cs="Arial" w:eastAsia="Arial" w:hAnsi="Arial"/>
          <w:color w:val="111827"/>
          <w:sz w:val="21"/>
          <w:szCs w:val="21"/>
        </w:rPr>
        <w:t xml:space="preserve">Applied the Year Filter as a Global Filter — set to 'Apply to worksheets: All using this data source' so a single parameter controls all nine sheets simultaneously</w:t>
      </w:r>
    </w:p>
    <w:p>
      <w:pPr>
        <w:pStyle w:val="ListParagraph"/>
        <w:numPr>
          <w:ilvl w:val="0"/>
          <w:numId w:val="2"/>
        </w:numPr>
        <w:spacing w:after="55" w:before="40"/>
      </w:pPr>
      <w:r>
        <w:rPr>
          <w:rFonts w:ascii="Arial" w:cs="Arial" w:eastAsia="Arial" w:hAnsi="Arial"/>
          <w:color w:val="111827"/>
          <w:sz w:val="21"/>
          <w:szCs w:val="21"/>
        </w:rPr>
        <w:t xml:space="preserve">Removed individual sheet titles where redundant — used dashboard text objects for section labels</w:t>
      </w:r>
    </w:p>
    <w:p>
      <w:pPr>
        <w:pStyle w:val="ListParagraph"/>
        <w:numPr>
          <w:ilvl w:val="0"/>
          <w:numId w:val="2"/>
        </w:numPr>
        <w:spacing w:after="55" w:before="40"/>
      </w:pPr>
      <w:r>
        <w:rPr>
          <w:rFonts w:ascii="Arial" w:cs="Arial" w:eastAsia="Arial" w:hAnsi="Arial"/>
          <w:color w:val="111827"/>
          <w:sz w:val="21"/>
          <w:szCs w:val="21"/>
        </w:rPr>
        <w:t xml:space="preserve">Added a title text object at the top: 'Sales Dashboard' with subtitle showing current selected year</w:t>
      </w:r>
    </w:p>
    <w:p>
      <w:pPr>
        <w:pStyle w:val="ListParagraph"/>
        <w:numPr>
          <w:ilvl w:val="0"/>
          <w:numId w:val="2"/>
        </w:numPr>
        <w:spacing w:after="55" w:before="40"/>
      </w:pPr>
      <w:r>
        <w:rPr>
          <w:rFonts w:ascii="Arial" w:cs="Arial" w:eastAsia="Arial" w:hAnsi="Arial"/>
          <w:color w:val="111827"/>
          <w:sz w:val="21"/>
          <w:szCs w:val="21"/>
        </w:rPr>
        <w:t xml:space="preserve">Tested interactivity: changing the Year Parameter cascades updates across all KPI cards, bar charts, map, bubble chart, and line chart in real time</w:t>
      </w:r>
    </w:p>
    <w:p>
      <w:pPr>
        <w:spacing w:after="0" w:before="0"/>
      </w:pPr>
      <w:r>
        <w:br w:type="page"/>
      </w:r>
    </w:p>
    <w:p>
      <w:pPr>
        <w:pStyle w:val="Heading1"/>
        <w:shd w:fill="1B3A6B" w:val="clear"/>
        <w:spacing w:after="160" w:before="0"/>
        <w:ind w:left="173"/>
      </w:pPr>
      <w:r>
        <w:rPr>
          <w:rFonts w:ascii="Arial" w:cs="Arial" w:eastAsia="Arial" w:hAnsi="Arial"/>
          <w:b/>
          <w:bCs/>
          <w:color w:val="FFFFFF"/>
          <w:sz w:val="30"/>
          <w:szCs w:val="30"/>
        </w:rPr>
        <w:t xml:space="preserve">Key Insights &amp; Business Findings</w:t>
      </w:r>
    </w:p>
    <w:p>
      <w:pPr>
        <w:spacing w:after="100" w:before="0"/>
      </w:pPr>
    </w:p>
    <w:p>
      <w:pPr>
        <w:spacing w:after="90" w:before="60"/>
        <w:jc w:val="both"/>
      </w:pPr>
      <w:r>
        <w:rPr>
          <w:rFonts w:ascii="Arial" w:cs="Arial" w:eastAsia="Arial" w:hAnsi="Arial"/>
          <w:color w:val="111827"/>
          <w:sz w:val="21"/>
          <w:szCs w:val="21"/>
        </w:rPr>
        <w:t xml:space="preserve">The Bike Sales Dashboard surfaces the following analytical insights from the dataset. These findings emerge directly from the seven worksheet visuals assembled on the Sales Dashboard.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EFF6FF" w:val="clear"/>
            <w:tcMar>
              <w:top w:type="dxa" w:w="100"/>
              <w:left w:type="dxa" w:w="120"/>
              <w:bottom w:type="dxa" w:w="100"/>
              <w:right w:type="dxa" w:w="120"/>
            </w:tcMar>
            <w:vAlign w:val="center"/>
          </w:tcPr>
          <w:p>
            <w:pPr>
              <w:spacing w:after="30" w:before="0"/>
              <w:jc w:val="center"/>
            </w:pPr>
            <w:r>
              <w:rPr>
                <w:rFonts w:ascii="Arial" w:cs="Arial" w:eastAsia="Arial" w:hAnsi="Arial"/>
                <w:b/>
                <w:bCs/>
                <w:color w:val="1B3A6B"/>
                <w:sz w:val="36"/>
                <w:szCs w:val="36"/>
              </w:rPr>
              <w:t xml:space="preserve">3</w:t>
            </w:r>
          </w:p>
          <w:p>
            <w:pPr>
              <w:spacing w:after="20" w:before="0"/>
              <w:jc w:val="center"/>
            </w:pPr>
            <w:r>
              <w:rPr>
                <w:rFonts w:ascii="Arial" w:cs="Arial" w:eastAsia="Arial" w:hAnsi="Arial"/>
                <w:b/>
                <w:bCs/>
                <w:color w:val="1B3A6B"/>
                <w:sz w:val="20"/>
                <w:szCs w:val="20"/>
              </w:rPr>
              <w:t xml:space="preserve">Product Categories</w:t>
            </w:r>
          </w:p>
          <w:p>
            <w:pPr>
              <w:spacing w:after="0" w:before="0"/>
              <w:jc w:val="center"/>
            </w:pPr>
            <w:r>
              <w:rPr>
                <w:rFonts w:ascii="Arial" w:cs="Arial" w:eastAsia="Arial" w:hAnsi="Arial"/>
                <w:i/>
                <w:iCs/>
                <w:color w:val="9CA3AF"/>
                <w:sz w:val="17"/>
                <w:szCs w:val="17"/>
              </w:rPr>
              <w:t xml:space="preserve">Accessories · Bikes · Clothing</w:t>
            </w:r>
          </w:p>
        </w:tc>
        <w:tc>
          <w:tcPr>
            <w:tcW w:type="dxa" w:w="3120"/>
            <w:tcBorders>
              <w:top w:val="single" w:color="E5E7EB" w:sz="4"/>
              <w:left w:val="single" w:color="E5E7EB" w:sz="4"/>
              <w:bottom w:val="single" w:color="E5E7EB" w:sz="4"/>
              <w:right w:val="single" w:color="E5E7EB" w:sz="4"/>
            </w:tcBorders>
            <w:shd w:fill="DBEAFE" w:val="clear"/>
            <w:tcMar>
              <w:top w:type="dxa" w:w="100"/>
              <w:left w:type="dxa" w:w="120"/>
              <w:bottom w:type="dxa" w:w="100"/>
              <w:right w:type="dxa" w:w="120"/>
            </w:tcMar>
            <w:vAlign w:val="center"/>
          </w:tcPr>
          <w:p>
            <w:pPr>
              <w:spacing w:after="30" w:before="0"/>
              <w:jc w:val="center"/>
            </w:pPr>
            <w:r>
              <w:rPr>
                <w:rFonts w:ascii="Arial" w:cs="Arial" w:eastAsia="Arial" w:hAnsi="Arial"/>
                <w:b/>
                <w:bCs/>
                <w:color w:val="2563EB"/>
                <w:sz w:val="36"/>
                <w:szCs w:val="36"/>
              </w:rPr>
              <w:t xml:space="preserve">6+</w:t>
            </w:r>
          </w:p>
          <w:p>
            <w:pPr>
              <w:spacing w:after="20" w:before="0"/>
              <w:jc w:val="center"/>
            </w:pPr>
            <w:r>
              <w:rPr>
                <w:rFonts w:ascii="Arial" w:cs="Arial" w:eastAsia="Arial" w:hAnsi="Arial"/>
                <w:b/>
                <w:bCs/>
                <w:color w:val="1B3A6B"/>
                <w:sz w:val="20"/>
                <w:szCs w:val="20"/>
              </w:rPr>
              <w:t xml:space="preserve">Countries</w:t>
            </w:r>
          </w:p>
          <w:p>
            <w:pPr>
              <w:spacing w:after="0" w:before="0"/>
              <w:jc w:val="center"/>
            </w:pPr>
            <w:r>
              <w:rPr>
                <w:rFonts w:ascii="Arial" w:cs="Arial" w:eastAsia="Arial" w:hAnsi="Arial"/>
                <w:i/>
                <w:iCs/>
                <w:color w:val="9CA3AF"/>
                <w:sz w:val="17"/>
                <w:szCs w:val="17"/>
              </w:rPr>
              <w:t xml:space="preserve">US, UK, Canada, Australia, France, Germany</w:t>
            </w:r>
          </w:p>
        </w:tc>
        <w:tc>
          <w:tcPr>
            <w:tcW w:type="dxa" w:w="3120"/>
            <w:tcBorders>
              <w:top w:val="single" w:color="E5E7EB" w:sz="4"/>
              <w:left w:val="single" w:color="E5E7EB" w:sz="4"/>
              <w:bottom w:val="single" w:color="E5E7EB" w:sz="4"/>
              <w:right w:val="single" w:color="E5E7EB" w:sz="4"/>
            </w:tcBorders>
            <w:shd w:fill="EFF6FF" w:val="clear"/>
            <w:tcMar>
              <w:top w:type="dxa" w:w="100"/>
              <w:left w:type="dxa" w:w="120"/>
              <w:bottom w:type="dxa" w:w="100"/>
              <w:right w:type="dxa" w:w="120"/>
            </w:tcMar>
            <w:vAlign w:val="center"/>
          </w:tcPr>
          <w:p>
            <w:pPr>
              <w:spacing w:after="30" w:before="0"/>
              <w:jc w:val="center"/>
            </w:pPr>
            <w:r>
              <w:rPr>
                <w:rFonts w:ascii="Arial" w:cs="Arial" w:eastAsia="Arial" w:hAnsi="Arial"/>
                <w:b/>
                <w:bCs/>
                <w:color w:val="1E40AF"/>
                <w:sz w:val="36"/>
                <w:szCs w:val="36"/>
              </w:rPr>
              <w:t xml:space="preserve">4</w:t>
            </w:r>
          </w:p>
          <w:p>
            <w:pPr>
              <w:spacing w:after="20" w:before="0"/>
              <w:jc w:val="center"/>
            </w:pPr>
            <w:r>
              <w:rPr>
                <w:rFonts w:ascii="Arial" w:cs="Arial" w:eastAsia="Arial" w:hAnsi="Arial"/>
                <w:b/>
                <w:bCs/>
                <w:color w:val="1B3A6B"/>
                <w:sz w:val="20"/>
                <w:szCs w:val="20"/>
              </w:rPr>
              <w:t xml:space="preserve">Age Groups</w:t>
            </w:r>
          </w:p>
          <w:p>
            <w:pPr>
              <w:spacing w:after="0" w:before="0"/>
              <w:jc w:val="center"/>
            </w:pPr>
            <w:r>
              <w:rPr>
                <w:rFonts w:ascii="Arial" w:cs="Arial" w:eastAsia="Arial" w:hAnsi="Arial"/>
                <w:i/>
                <w:iCs/>
                <w:color w:val="9CA3AF"/>
                <w:sz w:val="17"/>
                <w:szCs w:val="17"/>
              </w:rPr>
              <w:t xml:space="preserve">Youth · Young Adults · Adults · Seniors</w:t>
            </w:r>
          </w:p>
        </w:tc>
      </w:tr>
    </w:tbl>
    <w:p>
      <w:pPr>
        <w:spacing w:after="100" w:before="0"/>
      </w:pPr>
    </w:p>
    <w:p>
      <w:pPr>
        <w:pStyle w:val="Heading3"/>
      </w:pPr>
      <w:r>
        <w:rPr>
          <w:rFonts w:ascii="Arial" w:cs="Arial" w:eastAsia="Arial" w:hAnsi="Arial"/>
          <w:b/>
          <w:bCs/>
          <w:color w:val="111827"/>
          <w:sz w:val="22"/>
          <w:szCs w:val="22"/>
        </w:rPr>
        <w:t xml:space="preserve">Product Performance</w:t>
      </w:r>
    </w:p>
    <w:p>
      <w:pPr>
        <w:pStyle w:val="ListParagraph"/>
        <w:numPr>
          <w:ilvl w:val="0"/>
          <w:numId w:val="2"/>
        </w:numPr>
        <w:spacing w:after="55" w:before="40"/>
      </w:pPr>
      <w:r>
        <w:rPr>
          <w:rFonts w:ascii="Arial" w:cs="Arial" w:eastAsia="Arial" w:hAnsi="Arial"/>
          <w:color w:val="111827"/>
          <w:sz w:val="21"/>
          <w:szCs w:val="21"/>
        </w:rPr>
        <w:t xml:space="preserve">The Top 10 Products chart identifies the highest-revenue individual SKUs — allowing the business to focus inventory and marketing on proven winners</w:t>
      </w:r>
    </w:p>
    <w:p>
      <w:pPr>
        <w:pStyle w:val="ListParagraph"/>
        <w:numPr>
          <w:ilvl w:val="0"/>
          <w:numId w:val="2"/>
        </w:numPr>
        <w:spacing w:after="55" w:before="40"/>
      </w:pPr>
      <w:r>
        <w:rPr>
          <w:rFonts w:ascii="Arial" w:cs="Arial" w:eastAsia="Arial" w:hAnsi="Arial"/>
          <w:color w:val="111827"/>
          <w:sz w:val="21"/>
          <w:szCs w:val="21"/>
        </w:rPr>
        <w:t xml:space="preserve">Bikes generate the highest absolute revenue and cost; Accessories have better margin efficiency due to lower unit cost</w:t>
      </w:r>
    </w:p>
    <w:p>
      <w:pPr>
        <w:pStyle w:val="ListParagraph"/>
        <w:numPr>
          <w:ilvl w:val="0"/>
          <w:numId w:val="2"/>
        </w:numPr>
        <w:spacing w:after="55" w:before="40"/>
      </w:pPr>
      <w:r>
        <w:rPr>
          <w:rFonts w:ascii="Arial" w:cs="Arial" w:eastAsia="Arial" w:hAnsi="Arial"/>
          <w:color w:val="111827"/>
          <w:sz w:val="21"/>
          <w:szCs w:val="21"/>
        </w:rPr>
        <w:t xml:space="preserve">Sub-category analysis reveals which product lines within each category contribute most to profit</w:t>
      </w:r>
    </w:p>
    <w:p>
      <w:pPr>
        <w:spacing w:after="60" w:before="0"/>
      </w:pPr>
    </w:p>
    <w:p>
      <w:pPr>
        <w:pStyle w:val="Heading3"/>
      </w:pPr>
      <w:r>
        <w:rPr>
          <w:rFonts w:ascii="Arial" w:cs="Arial" w:eastAsia="Arial" w:hAnsi="Arial"/>
          <w:b/>
          <w:bCs/>
          <w:color w:val="111827"/>
          <w:sz w:val="22"/>
          <w:szCs w:val="22"/>
        </w:rPr>
        <w:t xml:space="preserve">Customer Demographics</w:t>
      </w:r>
    </w:p>
    <w:p>
      <w:pPr>
        <w:pStyle w:val="ListParagraph"/>
        <w:numPr>
          <w:ilvl w:val="0"/>
          <w:numId w:val="2"/>
        </w:numPr>
        <w:spacing w:after="55" w:before="40"/>
      </w:pPr>
      <w:r>
        <w:rPr>
          <w:rFonts w:ascii="Arial" w:cs="Arial" w:eastAsia="Arial" w:hAnsi="Arial"/>
          <w:color w:val="111827"/>
          <w:sz w:val="21"/>
          <w:szCs w:val="21"/>
        </w:rPr>
        <w:t xml:space="preserve">The Age Group Bubble Chart shows Adults and Young Adults typically generate the highest revenue — key segments for targeted marketing campaigns</w:t>
      </w:r>
    </w:p>
    <w:p>
      <w:pPr>
        <w:pStyle w:val="ListParagraph"/>
        <w:numPr>
          <w:ilvl w:val="0"/>
          <w:numId w:val="2"/>
        </w:numPr>
        <w:spacing w:after="55" w:before="40"/>
      </w:pPr>
      <w:r>
        <w:rPr>
          <w:rFonts w:ascii="Arial" w:cs="Arial" w:eastAsia="Arial" w:hAnsi="Arial"/>
          <w:color w:val="111827"/>
          <w:sz w:val="21"/>
          <w:szCs w:val="21"/>
        </w:rPr>
        <w:t xml:space="preserve">Gender split (Male/Female encoded as color in sub-category or other charts) enables gender-based product preference analysis</w:t>
      </w:r>
    </w:p>
    <w:p>
      <w:pPr>
        <w:pStyle w:val="ListParagraph"/>
        <w:numPr>
          <w:ilvl w:val="0"/>
          <w:numId w:val="2"/>
        </w:numPr>
        <w:spacing w:after="55" w:before="40"/>
      </w:pPr>
      <w:r>
        <w:rPr>
          <w:rFonts w:ascii="Arial" w:cs="Arial" w:eastAsia="Arial" w:hAnsi="Arial"/>
          <w:color w:val="111827"/>
          <w:sz w:val="21"/>
          <w:szCs w:val="21"/>
        </w:rPr>
        <w:t xml:space="preserve">Age Group segmentation allows the business to design age-appropriate product bundles and promotional pricing</w:t>
      </w:r>
    </w:p>
    <w:p>
      <w:pPr>
        <w:spacing w:after="60" w:before="0"/>
      </w:pPr>
    </w:p>
    <w:p>
      <w:pPr>
        <w:pStyle w:val="Heading3"/>
      </w:pPr>
      <w:r>
        <w:rPr>
          <w:rFonts w:ascii="Arial" w:cs="Arial" w:eastAsia="Arial" w:hAnsi="Arial"/>
          <w:b/>
          <w:bCs/>
          <w:color w:val="111827"/>
          <w:sz w:val="22"/>
          <w:szCs w:val="22"/>
        </w:rPr>
        <w:t xml:space="preserve">Geographic Distribution</w:t>
      </w:r>
    </w:p>
    <w:p>
      <w:pPr>
        <w:pStyle w:val="ListParagraph"/>
        <w:numPr>
          <w:ilvl w:val="0"/>
          <w:numId w:val="2"/>
        </w:numPr>
        <w:spacing w:after="55" w:before="40"/>
      </w:pPr>
      <w:r>
        <w:rPr>
          <w:rFonts w:ascii="Arial" w:cs="Arial" w:eastAsia="Arial" w:hAnsi="Arial"/>
          <w:color w:val="111827"/>
          <w:sz w:val="21"/>
          <w:szCs w:val="21"/>
        </w:rPr>
        <w:t xml:space="preserve">The Map visual identifies which countries generate the most profit — enabling territory planning and regional budget allocation</w:t>
      </w:r>
    </w:p>
    <w:p>
      <w:pPr>
        <w:pStyle w:val="ListParagraph"/>
        <w:numPr>
          <w:ilvl w:val="0"/>
          <w:numId w:val="2"/>
        </w:numPr>
        <w:spacing w:after="55" w:before="40"/>
      </w:pPr>
      <w:r>
        <w:rPr>
          <w:rFonts w:ascii="Arial" w:cs="Arial" w:eastAsia="Arial" w:hAnsi="Arial"/>
          <w:color w:val="111827"/>
          <w:sz w:val="21"/>
          <w:szCs w:val="21"/>
        </w:rPr>
        <w:t xml:space="preserve">Countries with high revenue but lower profit (visible by comparing map with KPI cards) may indicate pricing or cost inefficiencies in that market</w:t>
      </w:r>
    </w:p>
    <w:p>
      <w:pPr>
        <w:pStyle w:val="ListParagraph"/>
        <w:numPr>
          <w:ilvl w:val="0"/>
          <w:numId w:val="2"/>
        </w:numPr>
        <w:spacing w:after="55" w:before="40"/>
      </w:pPr>
      <w:r>
        <w:rPr>
          <w:rFonts w:ascii="Arial" w:cs="Arial" w:eastAsia="Arial" w:hAnsi="Arial"/>
          <w:color w:val="111827"/>
          <w:sz w:val="21"/>
          <w:szCs w:val="21"/>
        </w:rPr>
        <w:t xml:space="preserve">Year-over-year filtering on the map tracks geographic growth — which markets are expanding and which are shrinking</w:t>
      </w:r>
    </w:p>
    <w:p>
      <w:pPr>
        <w:spacing w:after="60" w:before="0"/>
      </w:pPr>
    </w:p>
    <w:p>
      <w:pPr>
        <w:pStyle w:val="Heading3"/>
      </w:pPr>
      <w:r>
        <w:rPr>
          <w:rFonts w:ascii="Arial" w:cs="Arial" w:eastAsia="Arial" w:hAnsi="Arial"/>
          <w:b/>
          <w:bCs/>
          <w:color w:val="111827"/>
          <w:sz w:val="22"/>
          <w:szCs w:val="22"/>
        </w:rPr>
        <w:t xml:space="preserve">Financial Trends &amp; KPIs</w:t>
      </w:r>
    </w:p>
    <w:p>
      <w:pPr>
        <w:pStyle w:val="ListParagraph"/>
        <w:numPr>
          <w:ilvl w:val="0"/>
          <w:numId w:val="2"/>
        </w:numPr>
        <w:spacing w:after="55" w:before="40"/>
      </w:pPr>
      <w:r>
        <w:rPr>
          <w:rFonts w:ascii="Arial" w:cs="Arial" w:eastAsia="Arial" w:hAnsi="Arial"/>
          <w:color w:val="111827"/>
          <w:sz w:val="21"/>
          <w:szCs w:val="21"/>
        </w:rPr>
        <w:t xml:space="preserve">Year-on-Year % Change card provides executive-level performance summary in a single figure — critical for board presentations</w:t>
      </w:r>
    </w:p>
    <w:p>
      <w:pPr>
        <w:pStyle w:val="ListParagraph"/>
        <w:numPr>
          <w:ilvl w:val="0"/>
          <w:numId w:val="2"/>
        </w:numPr>
        <w:spacing w:after="55" w:before="40"/>
      </w:pPr>
      <w:r>
        <w:rPr>
          <w:rFonts w:ascii="Arial" w:cs="Arial" w:eastAsia="Arial" w:hAnsi="Arial"/>
          <w:color w:val="111827"/>
          <w:sz w:val="21"/>
          <w:szCs w:val="21"/>
        </w:rPr>
        <w:t xml:space="preserve">The Revenue Line Chart reveals seasonality — months with peak bike sales (typically spring/summer in Northern Hemisphere markets)</w:t>
      </w:r>
    </w:p>
    <w:p>
      <w:pPr>
        <w:pStyle w:val="ListParagraph"/>
        <w:numPr>
          <w:ilvl w:val="0"/>
          <w:numId w:val="2"/>
        </w:numPr>
        <w:spacing w:after="55" w:before="40"/>
      </w:pPr>
      <w:r>
        <w:rPr>
          <w:rFonts w:ascii="Arial" w:cs="Arial" w:eastAsia="Arial" w:hAnsi="Arial"/>
          <w:color w:val="111827"/>
          <w:sz w:val="21"/>
          <w:szCs w:val="21"/>
        </w:rPr>
        <w:t xml:space="preserve">Comparing Cost Card and Revenue Card allows instant margin calculation across product categories</w:t>
      </w:r>
    </w:p>
    <w:p>
      <w:pPr>
        <w:spacing w:after="0" w:before="0"/>
      </w:pPr>
      <w:r>
        <w:br w:type="page"/>
      </w:r>
    </w:p>
    <w:p>
      <w:pPr>
        <w:pStyle w:val="Heading1"/>
        <w:shd w:fill="1B3A6B" w:val="clear"/>
        <w:spacing w:after="160" w:before="0"/>
        <w:ind w:left="173"/>
      </w:pPr>
      <w:r>
        <w:rPr>
          <w:rFonts w:ascii="Arial" w:cs="Arial" w:eastAsia="Arial" w:hAnsi="Arial"/>
          <w:b/>
          <w:bCs/>
          <w:color w:val="FFFFFF"/>
          <w:sz w:val="30"/>
          <w:szCs w:val="30"/>
        </w:rPr>
        <w:t xml:space="preserve">Calculated Fields &amp; Parameters</w:t>
      </w:r>
    </w:p>
    <w:p>
      <w:pPr>
        <w:spacing w:after="100" w:before="0"/>
      </w:pPr>
    </w:p>
    <w:p>
      <w:pPr>
        <w:spacing w:after="90" w:before="60"/>
        <w:jc w:val="both"/>
      </w:pPr>
      <w:r>
        <w:rPr>
          <w:rFonts w:ascii="Arial" w:cs="Arial" w:eastAsia="Arial" w:hAnsi="Arial"/>
          <w:color w:val="111827"/>
          <w:sz w:val="21"/>
          <w:szCs w:val="21"/>
        </w:rPr>
        <w:t xml:space="preserve">Four custom calculated fields and one parameter were created to enable the dynamic year-filtering functionality. These are the most technically significant components of the project.</w:t>
      </w:r>
    </w:p>
    <w:p>
      <w:pPr>
        <w:spacing w:after="80" w:before="0"/>
      </w:pPr>
    </w:p>
    <w:p>
      <w:pPr>
        <w:pStyle w:val="Heading3"/>
      </w:pPr>
      <w:r>
        <w:rPr>
          <w:rFonts w:ascii="Arial" w:cs="Arial" w:eastAsia="Arial" w:hAnsi="Arial"/>
          <w:b/>
          <w:bCs/>
          <w:color w:val="111827"/>
          <w:sz w:val="22"/>
          <w:szCs w:val="22"/>
        </w:rPr>
        <w:t xml:space="preserve">Parameter: Year Parameter</w:t>
      </w:r>
    </w:p>
    <w:p>
      <w:pPr>
        <w:spacing w:after="55" w:before="55"/>
        <w:ind w:left="144"/>
      </w:pPr>
      <w:r>
        <w:rPr>
          <w:rFonts w:ascii="Arial" w:cs="Arial" w:eastAsia="Arial" w:hAnsi="Arial"/>
          <w:b/>
          <w:bCs/>
          <w:color w:val="1B3A6B"/>
          <w:sz w:val="21"/>
          <w:szCs w:val="21"/>
        </w:rPr>
        <w:t xml:space="preserve">Type:  </w:t>
      </w:r>
      <w:r>
        <w:rPr>
          <w:rFonts w:ascii="Arial" w:cs="Arial" w:eastAsia="Arial" w:hAnsi="Arial"/>
          <w:color w:val="111827"/>
          <w:sz w:val="21"/>
          <w:szCs w:val="21"/>
        </w:rPr>
        <w:t xml:space="preserve">Date parameter (current value: 2016-01-01)</w:t>
      </w:r>
    </w:p>
    <w:p>
      <w:pPr>
        <w:spacing w:after="55" w:before="55"/>
        <w:ind w:left="144"/>
      </w:pPr>
      <w:r>
        <w:rPr>
          <w:rFonts w:ascii="Arial" w:cs="Arial" w:eastAsia="Arial" w:hAnsi="Arial"/>
          <w:b/>
          <w:bCs/>
          <w:color w:val="1B3A6B"/>
          <w:sz w:val="21"/>
          <w:szCs w:val="21"/>
        </w:rPr>
        <w:t xml:space="preserve">Display:  </w:t>
      </w:r>
      <w:r>
        <w:rPr>
          <w:rFonts w:ascii="Arial" w:cs="Arial" w:eastAsia="Arial" w:hAnsi="Arial"/>
          <w:color w:val="111827"/>
          <w:sz w:val="21"/>
          <w:szCs w:val="21"/>
        </w:rPr>
        <w:t xml:space="preserve">Year selector shown on dashboard — user-controlled input</w:t>
      </w:r>
    </w:p>
    <w:p>
      <w:pPr>
        <w:spacing w:after="55" w:before="55"/>
        <w:ind w:left="144"/>
      </w:pPr>
      <w:r>
        <w:rPr>
          <w:rFonts w:ascii="Arial" w:cs="Arial" w:eastAsia="Arial" w:hAnsi="Arial"/>
          <w:b/>
          <w:bCs/>
          <w:color w:val="1B3A6B"/>
          <w:sz w:val="21"/>
          <w:szCs w:val="21"/>
        </w:rPr>
        <w:t xml:space="preserve">Range:  </w:t>
      </w:r>
      <w:r>
        <w:rPr>
          <w:rFonts w:ascii="Arial" w:cs="Arial" w:eastAsia="Arial" w:hAnsi="Arial"/>
          <w:color w:val="111827"/>
          <w:sz w:val="21"/>
          <w:szCs w:val="21"/>
        </w:rPr>
        <w:t xml:space="preserve">2011 to 2016 (dataset date range)</w:t>
      </w:r>
    </w:p>
    <w:p>
      <w:pPr>
        <w:spacing w:after="55" w:before="55"/>
        <w:ind w:left="144"/>
      </w:pPr>
      <w:r>
        <w:rPr>
          <w:rFonts w:ascii="Arial" w:cs="Arial" w:eastAsia="Arial" w:hAnsi="Arial"/>
          <w:b/>
          <w:bCs/>
          <w:color w:val="1B3A6B"/>
          <w:sz w:val="21"/>
          <w:szCs w:val="21"/>
        </w:rPr>
        <w:t xml:space="preserve">Effect:  </w:t>
      </w:r>
      <w:r>
        <w:rPr>
          <w:rFonts w:ascii="Arial" w:cs="Arial" w:eastAsia="Arial" w:hAnsi="Arial"/>
          <w:color w:val="111827"/>
          <w:sz w:val="21"/>
          <w:szCs w:val="21"/>
        </w:rPr>
        <w:t xml:space="preserve">All calculated fields reference this parameter to filter data dynamically</w:t>
      </w:r>
    </w:p>
    <w:p>
      <w:pPr>
        <w:spacing w:after="80" w:before="0"/>
      </w:pPr>
    </w:p>
    <w:p>
      <w:pPr>
        <w:pStyle w:val="Heading3"/>
      </w:pPr>
      <w:r>
        <w:rPr>
          <w:rFonts w:ascii="Arial" w:cs="Arial" w:eastAsia="Arial" w:hAnsi="Arial"/>
          <w:b/>
          <w:bCs/>
          <w:color w:val="111827"/>
          <w:sz w:val="22"/>
          <w:szCs w:val="22"/>
        </w:rPr>
        <w:t xml:space="preserve">Calculated Field: Date -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8"/>
              <w:bottom w:val="single" w:color="E5E7EB" w:sz="4"/>
              <w:right w:val="single" w:color="E5E7EB" w:sz="4"/>
            </w:tcBorders>
            <w:shd w:fill="0F172A" w:val="clear"/>
            <w:tcMar>
              <w:top w:type="dxa" w:w="120"/>
              <w:left w:type="dxa" w:w="288"/>
              <w:bottom w:type="dxa" w:w="120"/>
              <w:right w:type="dxa" w:w="216"/>
            </w:tcMar>
          </w:tcPr>
          <w:p>
            <w:pPr>
              <w:spacing w:after="0" w:before="0"/>
            </w:pPr>
            <w:r>
              <w:rPr>
                <w:rFonts w:ascii="Courier New" w:cs="Courier New" w:eastAsia="Courier New" w:hAnsi="Courier New"/>
                <w:color w:val="7DD3FC"/>
                <w:sz w:val="20"/>
                <w:szCs w:val="20"/>
              </w:rPr>
              <w:t xml:space="preserve">DATE(DATETRUNC('year', [Date]))</w:t>
            </w:r>
          </w:p>
        </w:tc>
      </w:tr>
    </w:tbl>
    <w:p>
      <w:pPr>
        <w:spacing w:after="90" w:before="60"/>
        <w:jc w:val="both"/>
      </w:pPr>
      <w:r>
        <w:rPr>
          <w:rFonts w:ascii="Arial" w:cs="Arial" w:eastAsia="Arial" w:hAnsi="Arial"/>
          <w:color w:val="111827"/>
          <w:sz w:val="21"/>
          <w:szCs w:val="21"/>
        </w:rPr>
        <w:t xml:space="preserve">Truncates each date to the year level. Used by Year Filter to compare dates against the selected Parameter year.</w:t>
      </w:r>
    </w:p>
    <w:p>
      <w:pPr>
        <w:spacing w:after="80" w:before="0"/>
      </w:pPr>
    </w:p>
    <w:p>
      <w:pPr>
        <w:pStyle w:val="Heading3"/>
      </w:pPr>
      <w:r>
        <w:rPr>
          <w:rFonts w:ascii="Arial" w:cs="Arial" w:eastAsia="Arial" w:hAnsi="Arial"/>
          <w:b/>
          <w:bCs/>
          <w:color w:val="111827"/>
          <w:sz w:val="22"/>
          <w:szCs w:val="22"/>
        </w:rPr>
        <w:t xml:space="preserve">Calculated Field: Year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8"/>
              <w:bottom w:val="single" w:color="E5E7EB" w:sz="4"/>
              <w:right w:val="single" w:color="E5E7EB" w:sz="4"/>
            </w:tcBorders>
            <w:shd w:fill="0F172A" w:val="clear"/>
            <w:tcMar>
              <w:top w:type="dxa" w:w="120"/>
              <w:left w:type="dxa" w:w="288"/>
              <w:bottom w:type="dxa" w:w="120"/>
              <w:right w:type="dxa" w:w="216"/>
            </w:tcMar>
          </w:tcPr>
          <w:p>
            <w:pPr>
              <w:spacing w:after="0" w:before="0"/>
            </w:pPr>
            <w:r>
              <w:rPr>
                <w:rFonts w:ascii="Courier New" w:cs="Courier New" w:eastAsia="Courier New" w:hAnsi="Courier New"/>
                <w:color w:val="7DD3FC"/>
                <w:sz w:val="20"/>
                <w:szCs w:val="20"/>
              </w:rPr>
              <w:t xml:space="preserve">[Date - Year] = [Parameters].[Parameter 1]</w:t>
            </w:r>
          </w:p>
        </w:tc>
      </w:tr>
    </w:tbl>
    <w:p>
      <w:pPr>
        <w:spacing w:after="90" w:before="60"/>
        <w:jc w:val="both"/>
      </w:pPr>
      <w:r>
        <w:rPr>
          <w:rFonts w:ascii="Arial" w:cs="Arial" w:eastAsia="Arial" w:hAnsi="Arial"/>
          <w:color w:val="111827"/>
          <w:sz w:val="21"/>
          <w:szCs w:val="21"/>
        </w:rPr>
        <w:t xml:space="preserve">Boolean filter — returns TRUE only for records in the selected year. Applied to all worksheets.</w:t>
      </w:r>
    </w:p>
    <w:p>
      <w:pPr>
        <w:spacing w:after="80" w:before="0"/>
      </w:pPr>
    </w:p>
    <w:p>
      <w:pPr>
        <w:pStyle w:val="Heading3"/>
      </w:pPr>
      <w:r>
        <w:rPr>
          <w:rFonts w:ascii="Arial" w:cs="Arial" w:eastAsia="Arial" w:hAnsi="Arial"/>
          <w:b/>
          <w:bCs/>
          <w:color w:val="111827"/>
          <w:sz w:val="22"/>
          <w:szCs w:val="22"/>
        </w:rPr>
        <w:t xml:space="preserve">Calculated Fields: Profit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8"/>
              <w:bottom w:val="single" w:color="E5E7EB" w:sz="4"/>
              <w:right w:val="single" w:color="E5E7EB" w:sz="4"/>
            </w:tcBorders>
            <w:shd w:fill="0F172A" w:val="clear"/>
            <w:tcMar>
              <w:top w:type="dxa" w:w="120"/>
              <w:left w:type="dxa" w:w="288"/>
              <w:bottom w:type="dxa" w:w="120"/>
              <w:right w:type="dxa" w:w="216"/>
            </w:tcMar>
          </w:tcPr>
          <w:p>
            <w:pPr>
              <w:spacing w:after="20" w:before="0"/>
            </w:pPr>
            <w:r>
              <w:rPr>
                <w:rFonts w:ascii="Courier New" w:cs="Courier New" w:eastAsia="Courier New" w:hAnsi="Courier New"/>
                <w:color w:val="4ADE80"/>
                <w:sz w:val="18"/>
                <w:szCs w:val="18"/>
              </w:rPr>
              <w:t xml:space="preserve">// Current year profit</w:t>
            </w:r>
          </w:p>
          <w:p>
            <w:pPr>
              <w:spacing w:after="20" w:before="0"/>
            </w:pPr>
            <w:r>
              <w:rPr>
                <w:rFonts w:ascii="Courier New" w:cs="Courier New" w:eastAsia="Courier New" w:hAnsi="Courier New"/>
                <w:color w:val="7DD3FC"/>
                <w:sz w:val="18"/>
                <w:szCs w:val="18"/>
              </w:rPr>
              <w:t xml:space="preserve">IF [Date - Year] = [Parameters].[Parameter 1] THEN [Profit] END</w:t>
            </w:r>
          </w:p>
          <w:p>
            <w:pPr>
              <w:spacing w:after="20" w:before="20"/>
            </w:pPr>
            <w:r>
              <w:rPr>
                <w:rFonts w:ascii="Courier New" w:cs="Courier New" w:eastAsia="Courier New" w:hAnsi="Courier New"/>
                <w:color w:val="4ADE80"/>
                <w:sz w:val="18"/>
                <w:szCs w:val="18"/>
              </w:rPr>
              <w:t xml:space="preserve">// Last year profit  </w:t>
            </w:r>
          </w:p>
          <w:p>
            <w:pPr>
              <w:spacing w:after="20" w:before="0"/>
            </w:pPr>
            <w:r>
              <w:rPr>
                <w:rFonts w:ascii="Courier New" w:cs="Courier New" w:eastAsia="Courier New" w:hAnsi="Courier New"/>
                <w:color w:val="7DD3FC"/>
                <w:sz w:val="18"/>
                <w:szCs w:val="18"/>
              </w:rPr>
              <w:t xml:space="preserve">IF [Date - Year] = DATEADD('year', -1, [Parameters].[Parameter 1]) THEN [Profit] END</w:t>
            </w:r>
          </w:p>
          <w:p>
            <w:pPr>
              <w:spacing w:after="20" w:before="20"/>
            </w:pPr>
            <w:r>
              <w:rPr>
                <w:rFonts w:ascii="Courier New" w:cs="Courier New" w:eastAsia="Courier New" w:hAnsi="Courier New"/>
                <w:color w:val="4ADE80"/>
                <w:sz w:val="18"/>
                <w:szCs w:val="18"/>
              </w:rPr>
              <w:t xml:space="preserve">// Year-on-year % change</w:t>
            </w:r>
          </w:p>
          <w:p>
            <w:pPr>
              <w:spacing w:after="0" w:before="0"/>
            </w:pPr>
            <w:r>
              <w:rPr>
                <w:rFonts w:ascii="Courier New" w:cs="Courier New" w:eastAsia="Courier New" w:hAnsi="Courier New"/>
                <w:color w:val="FCD34D"/>
                <w:sz w:val="18"/>
                <w:szCs w:val="18"/>
              </w:rPr>
              <w:t xml:space="preserve">(SUM([Chosen Year Profit]) - SUM([Last Year Profit])) / SUM([Last Year Profit])</w:t>
            </w:r>
          </w:p>
        </w:tc>
      </w:tr>
    </w:tbl>
    <w:p>
      <w:pPr>
        <w:spacing w:after="0" w:before="0"/>
      </w:pPr>
      <w:r>
        <w:br w:type="page"/>
      </w:r>
    </w:p>
    <w:p>
      <w:pPr>
        <w:pStyle w:val="Heading1"/>
        <w:shd w:fill="1B3A6B" w:val="clear"/>
        <w:spacing w:after="160" w:before="0"/>
        <w:ind w:left="173"/>
      </w:pPr>
      <w:r>
        <w:rPr>
          <w:rFonts w:ascii="Arial" w:cs="Arial" w:eastAsia="Arial" w:hAnsi="Arial"/>
          <w:b/>
          <w:bCs/>
          <w:color w:val="FFFFFF"/>
          <w:sz w:val="30"/>
          <w:szCs w:val="30"/>
        </w:rPr>
        <w:t xml:space="preserve">Project Conclusion</w:t>
      </w:r>
    </w:p>
    <w:p>
      <w:pPr>
        <w:spacing w:after="100" w:before="0"/>
      </w:pPr>
    </w:p>
    <w:p>
      <w:pPr>
        <w:spacing w:after="90" w:before="60"/>
        <w:jc w:val="both"/>
      </w:pPr>
      <w:r>
        <w:rPr>
          <w:rFonts w:ascii="Arial" w:cs="Arial" w:eastAsia="Arial" w:hAnsi="Arial"/>
          <w:color w:val="111827"/>
          <w:sz w:val="21"/>
          <w:szCs w:val="21"/>
        </w:rPr>
        <w:t xml:space="preserve">This project delivers a complete Tableau Sales Dashboard built on a real bike sales dataset. Starting from a raw data connection, nine individual worksheets were designed and assembled into a single interactive 'Sales Dashboard' that updates dynamically through a Year Parameter control.</w:t>
      </w:r>
    </w:p>
    <w:p>
      <w:pPr>
        <w:spacing w:after="80" w:before="0"/>
      </w:pPr>
    </w:p>
    <w:p>
      <w:pPr>
        <w:spacing w:after="90" w:before="60"/>
        <w:jc w:val="both"/>
      </w:pPr>
      <w:r>
        <w:rPr>
          <w:rFonts w:ascii="Arial" w:cs="Arial" w:eastAsia="Arial" w:hAnsi="Arial"/>
          <w:color w:val="111827"/>
          <w:sz w:val="21"/>
          <w:szCs w:val="21"/>
        </w:rPr>
        <w:t xml:space="preserve">The dashboard covers the full analytical spectrum — product performance, customer demographics, geographic distribution, and financial KPIs — making it a comprehensive business intelligence tool suitable for executive presentations and operational decision-making.</w:t>
      </w:r>
    </w:p>
    <w:p>
      <w:pPr>
        <w:spacing w:after="80" w:before="0"/>
      </w:pPr>
    </w:p>
    <w:p>
      <w:pPr>
        <w:pStyle w:val="Heading3"/>
      </w:pPr>
      <w:r>
        <w:rPr>
          <w:rFonts w:ascii="Arial" w:cs="Arial" w:eastAsia="Arial" w:hAnsi="Arial"/>
          <w:b/>
          <w:bCs/>
          <w:color w:val="111827"/>
          <w:sz w:val="22"/>
          <w:szCs w:val="22"/>
        </w:rPr>
        <w:t xml:space="preserve">Skills Demonstrated</w:t>
      </w:r>
    </w:p>
    <w:p>
      <w:pPr>
        <w:pStyle w:val="ListParagraph"/>
        <w:numPr>
          <w:ilvl w:val="0"/>
          <w:numId w:val="2"/>
        </w:numPr>
        <w:spacing w:after="55" w:before="40"/>
      </w:pPr>
      <w:r>
        <w:rPr>
          <w:rFonts w:ascii="Arial" w:cs="Arial" w:eastAsia="Arial" w:hAnsi="Arial"/>
          <w:color w:val="111827"/>
          <w:sz w:val="21"/>
          <w:szCs w:val="21"/>
        </w:rPr>
        <w:t xml:space="preserve">Tableau Desktop — data connection, worksheet design, mark types, filters, parameters</w:t>
      </w:r>
    </w:p>
    <w:p>
      <w:pPr>
        <w:pStyle w:val="ListParagraph"/>
        <w:numPr>
          <w:ilvl w:val="0"/>
          <w:numId w:val="2"/>
        </w:numPr>
        <w:spacing w:after="55" w:before="40"/>
      </w:pPr>
      <w:r>
        <w:rPr>
          <w:rFonts w:ascii="Arial" w:cs="Arial" w:eastAsia="Arial" w:hAnsi="Arial"/>
          <w:color w:val="111827"/>
          <w:sz w:val="21"/>
          <w:szCs w:val="21"/>
        </w:rPr>
        <w:t xml:space="preserve">Calculated Fields — DATE functions, IF logic, DATEADD for year-over-year comparison</w:t>
      </w:r>
    </w:p>
    <w:p>
      <w:pPr>
        <w:pStyle w:val="ListParagraph"/>
        <w:numPr>
          <w:ilvl w:val="0"/>
          <w:numId w:val="2"/>
        </w:numPr>
        <w:spacing w:after="55" w:before="40"/>
      </w:pPr>
      <w:r>
        <w:rPr>
          <w:rFonts w:ascii="Arial" w:cs="Arial" w:eastAsia="Arial" w:hAnsi="Arial"/>
          <w:color w:val="111827"/>
          <w:sz w:val="21"/>
          <w:szCs w:val="21"/>
        </w:rPr>
        <w:t xml:space="preserve">Dashboard Assembly — layout containers, global filters, parameter controls, interactivity</w:t>
      </w:r>
    </w:p>
    <w:p>
      <w:pPr>
        <w:pStyle w:val="ListParagraph"/>
        <w:numPr>
          <w:ilvl w:val="0"/>
          <w:numId w:val="2"/>
        </w:numPr>
        <w:spacing w:after="55" w:before="40"/>
      </w:pPr>
      <w:r>
        <w:rPr>
          <w:rFonts w:ascii="Arial" w:cs="Arial" w:eastAsia="Arial" w:hAnsi="Arial"/>
          <w:color w:val="111827"/>
          <w:sz w:val="21"/>
          <w:szCs w:val="21"/>
        </w:rPr>
        <w:t xml:space="preserve">Visual Design — bar charts, bubble charts, maps, KPI cards, line charts in a unified theme</w:t>
      </w:r>
    </w:p>
    <w:p>
      <w:pPr>
        <w:pStyle w:val="ListParagraph"/>
        <w:numPr>
          <w:ilvl w:val="0"/>
          <w:numId w:val="2"/>
        </w:numPr>
        <w:spacing w:after="55" w:before="40"/>
      </w:pPr>
      <w:r>
        <w:rPr>
          <w:rFonts w:ascii="Arial" w:cs="Arial" w:eastAsia="Arial" w:hAnsi="Arial"/>
          <w:color w:val="111827"/>
          <w:sz w:val="21"/>
          <w:szCs w:val="21"/>
        </w:rPr>
        <w:t xml:space="preserve">Business Analytics — product ranking, demographic analysis, geographic profitability, P&amp;L KPIs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FF6FF" w:val="clear"/>
            <w:tcMar>
              <w:top w:type="dxa" w:w="216"/>
              <w:left w:type="dxa" w:w="288"/>
              <w:bottom w:type="dxa" w:w="216"/>
              <w:right w:type="dxa" w:w="288"/>
            </w:tcMar>
          </w:tcPr>
          <w:p>
            <w:pPr>
              <w:spacing w:after="55" w:before="0"/>
              <w:jc w:val="center"/>
            </w:pPr>
            <w:r>
              <w:rPr>
                <w:rFonts w:ascii="Arial" w:cs="Arial" w:eastAsia="Arial" w:hAnsi="Arial"/>
                <w:b/>
                <w:bCs/>
                <w:color w:val="1B3A6B"/>
                <w:sz w:val="23"/>
                <w:szCs w:val="23"/>
              </w:rPr>
              <w:t xml:space="preserve">Data Connection  →  9 Worksheets  →  1 Interactive Sales Dashboard</w:t>
            </w:r>
          </w:p>
          <w:p>
            <w:pPr>
              <w:spacing w:after="0" w:before="0"/>
              <w:jc w:val="center"/>
            </w:pPr>
            <w:r>
              <w:rPr>
                <w:rFonts w:ascii="Arial" w:cs="Arial" w:eastAsia="Arial" w:hAnsi="Arial"/>
                <w:i/>
                <w:iCs/>
                <w:color w:val="4B5563"/>
                <w:sz w:val="19"/>
                <w:szCs w:val="19"/>
              </w:rPr>
              <w:t xml:space="preserve">Bike Sales Dataset  ·  15 Fields  ·  Dynamic Year Parameter  ·  6 Chart Types  ·  Real-time KPIs</w:t>
            </w:r>
          </w:p>
        </w:tc>
      </w:tr>
    </w:tbl>
    <w:p>
      <w:pPr>
        <w:spacing w:after="160" w:before="0"/>
      </w:pPr>
    </w:p>
    <w:p>
      <w:pPr>
        <w:spacing w:after="60" w:before="0"/>
        <w:jc w:val="center"/>
      </w:pPr>
      <w:r>
        <w:rPr>
          <w:rFonts w:ascii="Arial" w:cs="Arial" w:eastAsia="Arial" w:hAnsi="Arial"/>
          <w:i/>
          <w:iCs/>
          <w:color w:val="9CA3AF"/>
          <w:sz w:val="22"/>
          <w:szCs w:val="22"/>
        </w:rPr>
        <w:t xml:space="preserve">— End of Report —</w:t>
      </w:r>
    </w:p>
    <w:p>
      <w:pPr>
        <w:spacing w:after="0" w:before="0"/>
        <w:jc w:val="center"/>
      </w:pPr>
      <w:r>
        <w:rPr>
          <w:rFonts w:ascii="Arial" w:cs="Arial" w:eastAsia="Arial" w:hAnsi="Arial"/>
          <w:color w:val="BBBBBB"/>
          <w:sz w:val="18"/>
          <w:szCs w:val="18"/>
        </w:rPr>
        <w:t xml:space="preserve">Rahul  ·  MS Information Systems  ·  Texas Tech University  ·  Rawls College of Business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after="0" w:before="80"/>
      <w:jc w:val="center"/>
    </w:pPr>
    <w:r>
      <w:rPr>
        <w:rFonts w:ascii="Arial" w:cs="Arial" w:eastAsia="Arial" w:hAnsi="Arial"/>
        <w:color w:val="BBBBBB"/>
        <w:sz w:val="17"/>
        <w:szCs w:val="17"/>
      </w:rPr>
      <w:t xml:space="preserve">Bike Sales Tableau Dashboard  ·  MS Information Systems  ·  Texas Tech University, Rawls College of Business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spacing w:after="80" w:before="0"/>
    </w:pPr>
    <w:r>
      <w:rPr>
        <w:rFonts w:ascii="Arial" w:cs="Arial" w:eastAsia="Arial" w:hAnsi="Arial"/>
        <w:color w:val="AAAAAA"/>
        <w:sz w:val="17"/>
        <w:szCs w:val="17"/>
      </w:rPr>
      <w:t xml:space="preserve">Bike Sales Tableau Dashboard  ·  Final Project Report</w:t>
    </w:r>
    <w:r>
      <w:rPr>
        <w:rFonts w:ascii="Arial" w:cs="Arial" w:eastAsia="Arial" w:hAnsi="Arial"/>
        <w:color w:val="CCCCCC"/>
        <w:sz w:val="17"/>
        <w:szCs w:val="17"/>
      </w:rPr>
      <w:t xml:space="preserve">	Prepared by Rahul  ·  Texas Tech University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b/>
        <w:bCs/>
        <w:color w:val="1B3A6B"/>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360" w:hanging="240"/>
      </w:pPr>
      <w:rPr>
        <w:color w:val="4B55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1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7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0c9f8f902e8552455b96c5c0894536a90054d3.png"/><Relationship Id="rId11" Type="http://schemas.openxmlformats.org/officeDocument/2006/relationships/image" Target="media/dashboard_screenshot.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2026-06-14T04:51:13.556Z</dcterms:created>
  <dcterms:modified xsi:type="dcterms:W3CDTF">2026-06-14T04:51:13.571Z</dcterms:modified>
</cp:coreProperties>
</file>

<file path=docProps/custom.xml><?xml version="1.0" encoding="utf-8"?>
<Properties xmlns="http://schemas.openxmlformats.org/officeDocument/2006/custom-properties" xmlns:vt="http://schemas.openxmlformats.org/officeDocument/2006/docPropsVTypes"/>
</file>