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ELISA 
     ANA IIF*
     TEST NAME	VALUE
Serum ANA (Immunofluorescence Assay)	NEGATIVE
Titer 	1:80
Pattern	Homogenous
Intensity	+
Remarks 	Advised ANA profile by line immunoassay
Summary and interpretation :
Pattern	Type of antibody/antigenic determinants	Disease association
Homogenous	dsDNA, Nucleosomes (chromatin), Histones	SLE, Drug induced LE, other Rheumatic diseases
Speckled	Sm, UI-RNP, SSA (Ro), SSB (La), Scl-70	SLE, Sjogren's Syndrome, Mixed connective tissue disease, evolving Rheumatic disease, Scleroderma
SSA	SSA	 Sjogren's Syndrome, SLE, Neonatal lupus
Nucleolar	Fibrillarin, Pm-Scl, RNA Polymerase, NOR90, Th-To	Scleroderma, Scleroderma/Myositis
Centromere	CENP A, B, C	CREST form of Scleroderma
Nuclear dots	Sp-100, MND, NSp-I	Primary biliary cirrhosis
PCNA	PCNA	SLE
Nuclear membrane	Nuclear Lamins	Lupoid hepatitis, SLE, RA
Cytoplasmic	Mitochondria, Actin, Vimentin, Golgi Apparatus, Jo-1, Ribosomes	Autoimmune Hepatitis, myositis, Primary biliary cirrhosis, SLE
Note : ANA is reported in low titres in a significant proportion of healthy population and results need to be correlated clinically. Autoantibodies may not always correlate with the observed pattern and confirmatory tests for positive results are recommended where available.  ANA results should only be interpreted by the clinician in light of patient's clinical information.
An ANA profile is suggested for ANA positive patients.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