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TEST NAME	RESULT	 UNIT	 REFERENCE RANGE
C3 (complement-3) (Serum, nephelometry)C4 (complement-4) (Serum, nephelometry)High sensitivity CRP Serum ((Serum, nephelometry)	 149388.76	 mg/dL mg/dLmg/L  	90-18010-40&lt;=3
Interpretation : 
High sensitivity CRP measurements may be used as an independent  risk marker for the identification of individual at risk for future cardiovascular disease. 
High sensitivity CRP when used in conjunction with traditional risk factors may by useful as an independent marker for prognosis of recurrent events in patients with stable coronary disease or acute coronary syndromes. 
Patients with evidence of active infection, systemic inflammatory processes or trauma should not be tested for cardiovascular risk assessment until these conditions are abated.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