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Variance commentary report</w:t>
      </w:r>
    </w:p>
    <w:p>
      <w:pPr>
        <w:pStyle w:val="Subtitle"/>
      </w:pPr>
      <w:r>
        <w:t>SaaS FP&amp;A portfolio case | Actuals through June 2026</w:t>
      </w:r>
    </w:p>
    <w:p>
      <w:r>
        <w:t>This report contains an AI-assisted draft based on structured financial results. Every explanation below was manually checked against the source calculations. No AI system made or approved a financial decision.</w:t>
      </w:r>
    </w:p>
    <w:p>
      <w:pPr>
        <w:pStyle w:val="Heading1"/>
      </w:pPr>
      <w:r>
        <w:t>Executive summary</w:t>
      </w:r>
    </w:p>
    <w:p>
      <w:pPr>
        <w:pStyle w:val="ListBullet"/>
      </w:pPr>
      <w:r>
        <w:t>YTD revenue was $2.42M, $59K above budget (2.5% favorable). The dataset supports the amount, but it does not isolate a causal driver beyond customer and plan-level growth.</w:t>
      </w:r>
    </w:p>
    <w:p>
      <w:pPr>
        <w:pStyle w:val="ListBullet"/>
      </w:pPr>
      <w:r>
        <w:t>Total YTD expenses were $5.99M, producing an operating loss of $3.57M. Expenses were $10K above budget (0.2% unfavorable).</w:t>
      </w:r>
    </w:p>
    <w:p>
      <w:pPr>
        <w:pStyle w:val="ListBullet"/>
      </w:pPr>
      <w:r>
        <w:t>June MRR reached $430K and ARR reached $5.16M. Gross logo churn was 2.0% for the month.</w:t>
      </w:r>
    </w:p>
    <w:p>
      <w:pPr>
        <w:pStyle w:val="ListBullet"/>
      </w:pPr>
      <w:r>
        <w:t>June ending cash was $4.61M. The base forecast ends December at $927K, indicating a near-term funding requirement if the modeled burn continues.</w:t>
      </w:r>
    </w:p>
    <w:p>
      <w:pPr>
        <w:pStyle w:val="Heading1"/>
      </w:pPr>
      <w:r>
        <w:t>Validated variance commentary</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224"/>
            <w:shd w:fill="2F75B5"/>
          </w:tcPr>
          <w:p>
            <w:r>
              <w:rPr>
                <w:b/>
                <w:color w:val="FFFFFF"/>
              </w:rPr>
              <w:t>Area</w:t>
            </w:r>
          </w:p>
        </w:tc>
        <w:tc>
          <w:tcPr>
            <w:tcW w:type="dxa" w:w="1152"/>
            <w:shd w:fill="2F75B5"/>
          </w:tcPr>
          <w:p>
            <w:r>
              <w:rPr>
                <w:b/>
                <w:color w:val="FFFFFF"/>
              </w:rPr>
              <w:t>Direction</w:t>
            </w:r>
          </w:p>
        </w:tc>
        <w:tc>
          <w:tcPr>
            <w:tcW w:type="dxa" w:w="3456"/>
            <w:shd w:fill="2F75B5"/>
          </w:tcPr>
          <w:p>
            <w:r>
              <w:rPr>
                <w:b/>
                <w:color w:val="FFFFFF"/>
              </w:rPr>
              <w:t>Commentary</w:t>
            </w:r>
          </w:p>
        </w:tc>
        <w:tc>
          <w:tcPr>
            <w:tcW w:type="dxa" w:w="1224"/>
            <w:shd w:fill="2F75B5"/>
          </w:tcPr>
          <w:p>
            <w:r>
              <w:rPr>
                <w:b/>
                <w:color w:val="FFFFFF"/>
              </w:rPr>
              <w:t>Status</w:t>
            </w:r>
          </w:p>
        </w:tc>
        <w:tc>
          <w:tcPr>
            <w:tcW w:type="dxa" w:w="3024"/>
            <w:shd w:fill="2F75B5"/>
          </w:tcPr>
          <w:p>
            <w:r>
              <w:rPr>
                <w:b/>
                <w:color w:val="FFFFFF"/>
              </w:rPr>
              <w:t>Manual validation</w:t>
            </w:r>
          </w:p>
        </w:tc>
      </w:tr>
      <w:tr>
        <w:tc>
          <w:tcPr>
            <w:tcW w:type="dxa" w:w="1224"/>
            <w:vAlign w:val="top"/>
          </w:tcPr>
          <w:p>
            <w:r>
              <w:t>Revenue</w:t>
            </w:r>
          </w:p>
        </w:tc>
        <w:tc>
          <w:tcPr>
            <w:tcW w:type="dxa" w:w="1152"/>
            <w:vAlign w:val="top"/>
          </w:tcPr>
          <w:p>
            <w:r>
              <w:t>Favorable</w:t>
            </w:r>
          </w:p>
        </w:tc>
        <w:tc>
          <w:tcPr>
            <w:tcW w:type="dxa" w:w="3456"/>
            <w:vAlign w:val="top"/>
          </w:tcPr>
          <w:p>
            <w:r>
              <w:t>Revenue exceeded budget by $59K (2.5%) through June.</w:t>
            </w:r>
          </w:p>
        </w:tc>
        <w:tc>
          <w:tcPr>
            <w:tcW w:type="dxa" w:w="1224"/>
            <w:vAlign w:val="top"/>
          </w:tcPr>
          <w:p>
            <w:r>
              <w:t>Validated</w:t>
            </w:r>
          </w:p>
        </w:tc>
        <w:tc>
          <w:tcPr>
            <w:tcW w:type="dxa" w:w="3024"/>
            <w:vAlign w:val="top"/>
          </w:tcPr>
          <w:p>
            <w:r>
              <w:t>Recomputed from monthly actual and budget revenue.</w:t>
            </w:r>
          </w:p>
        </w:tc>
      </w:tr>
      <w:tr>
        <w:tc>
          <w:tcPr>
            <w:tcW w:type="dxa" w:w="1224"/>
            <w:vAlign w:val="top"/>
          </w:tcPr>
          <w:p>
            <w:r>
              <w:t>Cloud and API</w:t>
            </w:r>
          </w:p>
        </w:tc>
        <w:tc>
          <w:tcPr>
            <w:tcW w:type="dxa" w:w="1152"/>
            <w:vAlign w:val="top"/>
          </w:tcPr>
          <w:p>
            <w:r>
              <w:t>Unfavorable</w:t>
            </w:r>
          </w:p>
        </w:tc>
        <w:tc>
          <w:tcPr>
            <w:tcW w:type="dxa" w:w="3456"/>
            <w:vAlign w:val="top"/>
          </w:tcPr>
          <w:p>
            <w:r>
              <w:t>Cloud and API cost was $16K above budget.</w:t>
            </w:r>
          </w:p>
        </w:tc>
        <w:tc>
          <w:tcPr>
            <w:tcW w:type="dxa" w:w="1224"/>
            <w:vAlign w:val="top"/>
          </w:tcPr>
          <w:p>
            <w:r>
              <w:t>Validated</w:t>
            </w:r>
          </w:p>
        </w:tc>
        <w:tc>
          <w:tcPr>
            <w:tcW w:type="dxa" w:w="3024"/>
            <w:vAlign w:val="top"/>
          </w:tcPr>
          <w:p>
            <w:r>
              <w:t>Recomputed from the Cloud &amp; API category. Higher usage is a hypothesis, not a proven cause.</w:t>
            </w:r>
          </w:p>
        </w:tc>
      </w:tr>
      <w:tr>
        <w:tc>
          <w:tcPr>
            <w:tcW w:type="dxa" w:w="1224"/>
            <w:vAlign w:val="top"/>
          </w:tcPr>
          <w:p>
            <w:r>
              <w:t>Total expense</w:t>
            </w:r>
          </w:p>
        </w:tc>
        <w:tc>
          <w:tcPr>
            <w:tcW w:type="dxa" w:w="1152"/>
            <w:vAlign w:val="top"/>
          </w:tcPr>
          <w:p>
            <w:r>
              <w:t>Unfavorable</w:t>
            </w:r>
          </w:p>
        </w:tc>
        <w:tc>
          <w:tcPr>
            <w:tcW w:type="dxa" w:w="3456"/>
            <w:vAlign w:val="top"/>
          </w:tcPr>
          <w:p>
            <w:r>
              <w:t>Total expense was $10K above budget.</w:t>
            </w:r>
          </w:p>
        </w:tc>
        <w:tc>
          <w:tcPr>
            <w:tcW w:type="dxa" w:w="1224"/>
            <w:vAlign w:val="top"/>
          </w:tcPr>
          <w:p>
            <w:r>
              <w:t>Validated</w:t>
            </w:r>
          </w:p>
        </w:tc>
        <w:tc>
          <w:tcPr>
            <w:tcW w:type="dxa" w:w="3024"/>
            <w:vAlign w:val="top"/>
          </w:tcPr>
          <w:p>
            <w:r>
              <w:t>Includes COGS, payroll, and other operating expense.</w:t>
            </w:r>
          </w:p>
        </w:tc>
      </w:tr>
      <w:tr>
        <w:tc>
          <w:tcPr>
            <w:tcW w:type="dxa" w:w="1224"/>
            <w:vAlign w:val="top"/>
          </w:tcPr>
          <w:p>
            <w:r>
              <w:t>Headcount</w:t>
            </w:r>
          </w:p>
        </w:tc>
        <w:tc>
          <w:tcPr>
            <w:tcW w:type="dxa" w:w="1152"/>
            <w:vAlign w:val="top"/>
          </w:tcPr>
          <w:p>
            <w:r>
              <w:t>Unfavorable</w:t>
            </w:r>
          </w:p>
        </w:tc>
        <w:tc>
          <w:tcPr>
            <w:tcW w:type="dxa" w:w="3456"/>
            <w:vAlign w:val="top"/>
          </w:tcPr>
          <w:p>
            <w:r>
              <w:t>June actual headcount was 0 above plan.</w:t>
            </w:r>
          </w:p>
        </w:tc>
        <w:tc>
          <w:tcPr>
            <w:tcW w:type="dxa" w:w="1224"/>
            <w:vAlign w:val="top"/>
          </w:tcPr>
          <w:p>
            <w:r>
              <w:t>Validated</w:t>
            </w:r>
          </w:p>
        </w:tc>
        <w:tc>
          <w:tcPr>
            <w:tcW w:type="dxa" w:w="3024"/>
            <w:vAlign w:val="top"/>
          </w:tcPr>
          <w:p>
            <w:r>
              <w:t>Compared summed department-level actual and planned headcount.</w:t>
            </w:r>
          </w:p>
        </w:tc>
      </w:tr>
      <w:tr>
        <w:tc>
          <w:tcPr>
            <w:tcW w:type="dxa" w:w="1224"/>
            <w:vAlign w:val="top"/>
          </w:tcPr>
          <w:p>
            <w:r>
              <w:t>Cash</w:t>
            </w:r>
          </w:p>
        </w:tc>
        <w:tc>
          <w:tcPr>
            <w:tcW w:type="dxa" w:w="1152"/>
            <w:vAlign w:val="top"/>
          </w:tcPr>
          <w:p>
            <w:r>
              <w:t>Risk</w:t>
            </w:r>
          </w:p>
        </w:tc>
        <w:tc>
          <w:tcPr>
            <w:tcW w:type="dxa" w:w="3456"/>
            <w:vAlign w:val="top"/>
          </w:tcPr>
          <w:p>
            <w:r>
              <w:t>Base-case cash declines from $4.61M in June to $927K in December.</w:t>
            </w:r>
          </w:p>
        </w:tc>
        <w:tc>
          <w:tcPr>
            <w:tcW w:type="dxa" w:w="1224"/>
            <w:vAlign w:val="top"/>
          </w:tcPr>
          <w:p>
            <w:r>
              <w:t>Validated</w:t>
            </w:r>
          </w:p>
        </w:tc>
        <w:tc>
          <w:tcPr>
            <w:tcW w:type="dxa" w:w="3024"/>
            <w:vAlign w:val="top"/>
          </w:tcPr>
          <w:p>
            <w:r>
              <w:t>Recomputed from forecast inflow, outflow, capex, and financing.</w:t>
            </w:r>
          </w:p>
        </w:tc>
      </w:tr>
    </w:tbl>
    <w:p>
      <w:pPr>
        <w:pStyle w:val="Heading1"/>
      </w:pPr>
      <w:r>
        <w:t>Forecast and management attention</w:t>
      </w:r>
    </w:p>
    <w:p>
      <w:r>
        <w:t>The modeled base case remains loss-making through the forecast horizon. Management should confirm the timing and size of the next financing action before cash approaches the minimum operating buffer. The scenario model allows growth, churn, pricing, hiring, marketing, and cloud unit cost assumptions to change without rewriting the historical actuals.</w:t>
      </w:r>
    </w:p>
    <w:p>
      <w:r>
        <w:t>The strongest controllable levers in this dataset are hiring pace and discretionary marketing. Pricing and churn create greater upside to recurring revenue, while cloud unit cost affects gross margin. These statements describe model mechanics; they do not establish operational feasibility.</w:t>
      </w:r>
    </w:p>
    <w:p>
      <w:pPr>
        <w:pStyle w:val="Heading1"/>
      </w:pPr>
      <w:r>
        <w:t>AI use and reviewer protocol</w:t>
      </w:r>
    </w:p>
    <w:p>
      <w:r>
        <w:t>The companion prompt in ai/claude_variance_prompt.md is designed for an initial Claude draft. Claude was not available in this environment, so this document does not claim that Claude generated the text. Before external use, paste the structured results into Claude, compare its draft to this validation table, and retain only explanations supported by named calculations or confirmed by business owners.</w:t>
      </w:r>
    </w:p>
    <w:p>
      <w:pPr>
        <w:pStyle w:val="ListNumber"/>
      </w:pPr>
      <w:r>
        <w:t>Tie every amount to the workbook or prepared dataset.</w:t>
      </w:r>
    </w:p>
    <w:p>
      <w:pPr>
        <w:pStyle w:val="ListNumber"/>
      </w:pPr>
      <w:r>
        <w:t>Reject causal language that the data does not prove.</w:t>
      </w:r>
    </w:p>
    <w:p>
      <w:pPr>
        <w:pStyle w:val="ListNumber"/>
      </w:pPr>
      <w:r>
        <w:t>Confirm operational explanations with the accountable department owner.</w:t>
      </w:r>
    </w:p>
    <w:p>
      <w:pPr>
        <w:pStyle w:val="ListNumber"/>
      </w:pPr>
      <w:r>
        <w:t>Re-run the report after any forecast or scenario change.</w:t>
      </w:r>
    </w:p>
    <w:p>
      <w:pPr>
        <w:pStyle w:val="Heading1"/>
      </w:pPr>
      <w:r>
        <w:t>Data scope and conventions</w:t>
      </w:r>
    </w:p>
    <w:p>
      <w:r>
        <w:t>The company, customer base, employees, and financial results are synthetic. Positive revenue variance is favorable. Positive expense variance means actual expense is below budget. Actuals run through June 2026; later months are forecast.</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Synthetic portfolio case | FP&amp;A management reporting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2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