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Athena Interface and App Setup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10100" cy="3228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 id: 0oa946l55dFaXnUUB297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Secret: FWpXu4vWCr3qRdQwCV4sznm4lBHEM9DOYfQd4lDO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Register the app using Masher ID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Following 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Authorization from the interface side: 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get_access_token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'https://athena.okta.com/oauth2/aus2hfei6ookPyyCA297/v1/token'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'0oa946l55dFaXnUUB297'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'FWpXu4vWCr3qRdQwCV4sznm4lBHEM9DOYfQd4lDO'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'application/x-www-form-urlencoded'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'client_id'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'client_secret'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'grant_type'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'client_credentials'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'athena/service/Athenanet.MDP.*'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DEFAULT_TIMEOUT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Steps: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Abstract api integration were ready and the api calls needs update so we can get the data points needed instead of getting all the data in one call.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ex: Current api calls gets complete information on a patient but Athena provides api calls that can get specific information on a patient reducing the amount of size of an api call and that is what needs to be decided on when the app is going to be published on athena’s marketplace.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 back to FHIR excel spreadsheet for more information on the api calls.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Frontend Suggestion: With the frontend being in angular, we can optimize it to make calls for a specific entity in the FHIR system. For Example: If a doctor wants to get information on one patient, the frontend should be able to directly request data via the backend without having to get more than needed information in a single call. Which means rendering the functions required on the frontend to reduce the load time to completely render the web page.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