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>
      <w:pPr>
        <w:rPr>
          <w:b w:val="1"/>
          <w:bCs w:val="1"/>
          <w:sz w:val="36"/>
          <w:szCs w:val="36"/>
          <w:rtl w:val="0"/>
          <w:lang w:val="en-US" w:bidi="en-US" w:eastAsia="en-US"/>
        </w:rPr>
      </w:pPr>
      <w:bookmarkStart w:id="0" w:name="_dx_frag_StartFragment"/>
      <w:bookmarkEnd w:id="0"/>
      <w:r>
        <w:rPr>
          <w:b w:val="1"/>
          <w:bCs w:val="1"/>
          <w:sz w:val="36"/>
          <w:szCs w:val="36"/>
          <w:rtl w:val="0"/>
          <w:lang w:val="en-US" w:bidi="en-US" w:eastAsia="en-US"/>
        </w:rPr>
        <w:t xml:space="preserve">. </w:t>
      </w:r>
      <w:r>
        <w:rPr>
          <w:b w:val="1"/>
          <w:bCs w:val="1"/>
          <w:sz w:val="36"/>
          <w:szCs w:val="36"/>
        </w:rPr>
        <w:t>ADVANCED SOC OPERATIONS REPORT – WEEK 3</w:t>
      </w:r>
      <w:bookmarkStart w:id="1" w:name="_dx_frag_EndFragment"/>
      <w:bookmarkEnd w:id="1"/>
      <w:r>
        <w:rPr>
          <w:b w:val="1"/>
          <w:bCs w:val="1"/>
          <w:sz w:val="36"/>
          <w:szCs w:val="36"/>
          <w:rtl w:val="0"/>
          <w:lang w:val="en-US" w:bidi="en-US" w:eastAsia="en-US"/>
        </w:rPr>
        <w:t xml:space="preserve">    </w:t>
      </w:r>
    </w:p>
    <w:p>
      <w:pPr>
        <w:rPr>
          <w:rFonts w:ascii="Arial Black" w:hAnsi="Arial Black"/>
          <w:sz w:val="28"/>
          <w:szCs w:val="28"/>
        </w:rPr>
      </w:pPr>
      <w:r>
        <w:rPr>
          <w:b w:val="1"/>
          <w:bCs w:val="1"/>
          <w:sz w:val="36"/>
          <w:szCs w:val="36"/>
          <w:rtl w:val="0"/>
          <w:lang w:val="en-US" w:bidi="en-US" w:eastAsia="en-US"/>
        </w:rPr>
        <w:t xml:space="preserve">                                                           </w:t>
      </w:r>
      <w:r>
        <w:rPr>
          <w:sz w:val="28"/>
          <w:szCs w:val="28"/>
          <w:rtl w:val="0"/>
          <w:lang w:val="en-US" w:bidi="en-US" w:eastAsia="en-US"/>
        </w:rPr>
        <w:t xml:space="preserve">                                                                                                    </w:t>
      </w:r>
    </w:p>
    <w:p>
      <w:pPr>
        <w:rPr>
          <w:rFonts w:ascii="Arial Black" w:hAnsi="Arial Black"/>
          <w:b w:val="1"/>
          <w:bCs w:val="1"/>
          <w:sz w:val="36"/>
          <w:szCs w:val="36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rtl w:val="0"/>
          <w:lang w:val="en-US" w:bidi="en-US" w:eastAsia="en-US"/>
        </w:rPr>
        <w:t xml:space="preserve">                                                      </w:t>
      </w:r>
      <w:r>
        <w:rPr>
          <w:rFonts w:ascii="Arial Black" w:hAnsi="Arial Black"/>
          <w:b w:val="1"/>
          <w:bCs w:val="1"/>
          <w:sz w:val="36"/>
          <w:szCs w:val="36"/>
          <w:rtl w:val="0"/>
          <w:lang w:val="en-US" w:bidi="en-US" w:eastAsia="en-US"/>
        </w:rPr>
        <w:t>SUBMITTED BY:</w:t>
      </w:r>
    </w:p>
    <w:p>
      <w:pPr>
        <w:rPr>
          <w:rFonts w:ascii="Arial Black" w:hAnsi="Arial Black"/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rFonts w:ascii="Arial Black" w:hAnsi="Arial Black"/>
          <w:b w:val="1"/>
          <w:bCs w:val="1"/>
          <w:sz w:val="28"/>
          <w:szCs w:val="28"/>
          <w:rtl w:val="0"/>
          <w:lang w:val="en-US" w:bidi="en-US" w:eastAsia="en-US"/>
        </w:rPr>
        <w:t xml:space="preserve">                                                           BUDHARAPU RAHUL</w:t>
      </w:r>
    </w:p>
    <w:p>
      <w:pPr>
        <w:rPr>
          <w:rFonts w:ascii="Arial Black" w:hAnsi="Arial Black"/>
          <w:b w:val="1"/>
          <w:bCs w:val="1"/>
          <w:sz w:val="28"/>
          <w:szCs w:val="28"/>
        </w:rPr>
      </w:pPr>
      <w:r>
        <w:rPr>
          <w:rFonts w:ascii="Arial Black" w:hAnsi="Arial Black"/>
          <w:b w:val="1"/>
          <w:bCs w:val="1"/>
          <w:sz w:val="28"/>
          <w:szCs w:val="28"/>
          <w:rtl w:val="0"/>
          <w:lang w:val="en-US" w:bidi="en-US" w:eastAsia="en-US"/>
        </w:rPr>
        <w:t xml:space="preserve">                                                           DATE : 05/06/26</w:t>
      </w: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                                                        </w:t>
      </w: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</w:p>
    <w:p>
      <w:pPr>
        <w:rPr>
          <w:rFonts w:ascii="Arial Black" w:hAnsi="Arial Black"/>
          <w:sz w:val="28"/>
          <w:szCs w:val="28"/>
          <w:rtl w:val="0"/>
          <w:lang w:val="en-US" w:bidi="en-US" w:eastAsia="en-US"/>
        </w:rPr>
      </w:pPr>
      <w:bookmarkStart w:id="2" w:name="_dx_frag_StartFragment"/>
      <w:bookmarkEnd w:id="2"/>
      <w:r>
        <w:rPr>
          <w:rFonts w:ascii="Arial Black" w:hAnsi="Arial Black"/>
          <w:b w:val="1"/>
          <w:sz w:val="28"/>
          <w:szCs w:val="28"/>
        </w:rPr>
        <w:t>1. ADVANCED LOG ANALYSIS</w:t>
      </w:r>
      <w:bookmarkStart w:id="3" w:name="_dx_frag_EndFragment"/>
      <w:bookmarkEnd w:id="3"/>
      <w:r>
        <w:rPr>
          <w:rFonts w:ascii="Arial Black" w:hAnsi="Arial Black"/>
          <w:sz w:val="28"/>
          <w:szCs w:val="28"/>
          <w:rtl w:val="0"/>
          <w:lang w:val="en-US" w:bidi="en-US" w:eastAsia="en-US"/>
        </w:rPr>
        <w:t xml:space="preserve">  </w:t>
      </w:r>
    </w:p>
    <w:p>
      <w:pPr>
        <w:rPr>
          <w:rFonts w:ascii="Arial Black" w:hAnsi="Arial Black"/>
          <w:sz w:val="28"/>
          <w:szCs w:val="28"/>
          <w:rtl w:val="0"/>
          <w:lang w:val="en-US" w:bidi="en-US" w:eastAsia="en-US"/>
        </w:rPr>
      </w:pPr>
      <w:r>
        <w:rPr>
          <w:rFonts w:ascii="Arial Black" w:hAnsi="Arial Black"/>
          <w:sz w:val="28"/>
          <w:szCs w:val="28"/>
          <w:rtl w:val="0"/>
          <w:lang w:val="en-US" w:bidi="en-US" w:eastAsia="en-US"/>
        </w:rPr>
        <w:t xml:space="preserve">       </w:t>
      </w:r>
    </w:p>
    <w:p>
      <w:pPr>
        <w:rPr>
          <w:rFonts w:ascii="Arial Black" w:hAnsi="Arial Black"/>
          <w:sz w:val="24"/>
          <w:szCs w:val="24"/>
          <w:rtl w:val="0"/>
          <w:lang w:val="en-US" w:bidi="en-US" w:eastAsia="en-US"/>
        </w:rPr>
      </w:pPr>
      <w:bookmarkStart w:id="4" w:name="_dx_frag_StartFragment"/>
      <w:bookmarkEnd w:id="4"/>
      <w:r>
        <w:rPr>
          <w:b w:val="1"/>
          <w:sz w:val="24"/>
          <w:szCs w:val="24"/>
        </w:rPr>
        <w:t>Objective</w:t>
      </w:r>
      <w:bookmarkStart w:id="5" w:name="_dx_frag_EndFragment"/>
      <w:bookmarkEnd w:id="5"/>
      <w:r>
        <w:rPr>
          <w:rFonts w:ascii="Arial Black" w:hAnsi="Arial Black"/>
          <w:sz w:val="24"/>
          <w:szCs w:val="24"/>
          <w:rtl w:val="0"/>
          <w:lang w:val="en-US" w:bidi="en-US" w:eastAsia="en-US"/>
        </w:rPr>
        <w:t xml:space="preserve">    </w:t>
      </w:r>
    </w:p>
    <w:p>
      <w:pPr>
        <w:rPr>
          <w:rFonts w:ascii="Calibri" w:hAnsi="Calibri"/>
          <w:sz w:val="24"/>
          <w:szCs w:val="24"/>
          <w:rtl w:val="0"/>
          <w:lang w:val="en-US" w:bidi="en-US" w:eastAsia="en-US"/>
        </w:rPr>
      </w:pPr>
      <w:bookmarkStart w:id="6" w:name="_dx_frag_StartFragment"/>
      <w:bookmarkEnd w:id="6"/>
      <w:r>
        <w:rPr>
          <w:rFonts w:ascii="Calibri" w:hAnsi="Calibri"/>
        </w:rPr>
        <w:t>Understand log correlation and anomaly detection.</w:t>
      </w:r>
      <w:bookmarkStart w:id="7" w:name="_dx_frag_EndFragment"/>
      <w:bookmarkEnd w:id="7"/>
      <w:r>
        <w:rPr>
          <w:rFonts w:ascii="Calibri" w:hAnsi="Calibri"/>
          <w:sz w:val="24"/>
          <w:szCs w:val="24"/>
          <w:rtl w:val="0"/>
          <w:lang w:val="en-US" w:bidi="en-US" w:eastAsia="en-US"/>
        </w:rPr>
        <w:t xml:space="preserve">      </w:t>
      </w:r>
    </w:p>
    <w:p>
      <w:pPr>
        <w:rPr>
          <w:rFonts w:ascii="Calibri" w:hAnsi="Calibri"/>
          <w:sz w:val="24"/>
          <w:szCs w:val="24"/>
          <w:rtl w:val="0"/>
          <w:lang w:val="en-US" w:bidi="en-US" w:eastAsia="en-US"/>
        </w:rPr>
      </w:pPr>
    </w:p>
    <w:p>
      <w:pPr>
        <w:rPr>
          <w:rFonts w:ascii="Arial Black" w:hAnsi="Arial Black"/>
          <w:sz w:val="28"/>
          <w:szCs w:val="28"/>
          <w:rtl w:val="0"/>
          <w:lang w:val="en-US" w:bidi="en-US" w:eastAsia="en-US"/>
        </w:rPr>
      </w:pPr>
      <w:bookmarkStart w:id="8" w:name="_dx_frag_StartFragment"/>
      <w:bookmarkEnd w:id="8"/>
      <w:r>
        <w:rPr>
          <w:rFonts w:ascii="Arial Black" w:hAnsi="Arial Black"/>
          <w:b w:val="1"/>
          <w:sz w:val="28"/>
          <w:szCs w:val="28"/>
        </w:rPr>
        <w:t>Log Correlation Table</w:t>
      </w:r>
      <w:bookmarkStart w:id="9" w:name="_dx_frag_EndFragment"/>
      <w:bookmarkEnd w:id="9"/>
      <w:r>
        <w:rPr>
          <w:rFonts w:ascii="Arial Black" w:hAnsi="Arial Black"/>
          <w:sz w:val="28"/>
          <w:szCs w:val="28"/>
          <w:rtl w:val="0"/>
          <w:lang w:val="en-US" w:bidi="en-US" w:eastAsia="en-US"/>
        </w:rPr>
        <w:t xml:space="preserve">    </w:t>
      </w:r>
    </w:p>
    <w:tbl>
      <w:tblPr>
        <w:tblStyle w:val="T1"/>
        <w:tblW w:w="0" w:type="auto"/>
        <w:tblLook w:val="04A0"/>
      </w:tblPr>
      <w:tblGrid>
        <w:gridCol w:w="1803"/>
        <w:gridCol w:w="1802"/>
        <w:gridCol w:w="1805"/>
        <w:gridCol w:w="1805"/>
        <w:gridCol w:w="1804"/>
      </w:tblGrid>
      <w:tr>
        <w:tc>
          <w:tcPr>
            <w:tcW w:w="1805" w:type="dxa"/>
          </w:tcPr>
          <w:p>
            <w:pP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Ti</w:t>
            </w: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mestamp</w:t>
            </w:r>
          </w:p>
        </w:tc>
        <w:tc>
          <w:tcPr>
            <w:tcW w:w="1805" w:type="dxa"/>
          </w:tcPr>
          <w:p>
            <w:pP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Event ID</w:t>
            </w:r>
          </w:p>
        </w:tc>
        <w:tc>
          <w:tcPr>
            <w:tcW w:w="1806" w:type="dxa"/>
          </w:tcPr>
          <w:p>
            <w:pP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S</w:t>
            </w: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 xml:space="preserve">ource </w:t>
            </w: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IP</w:t>
            </w:r>
          </w:p>
        </w:tc>
        <w:tc>
          <w:tcPr>
            <w:tcW w:w="1806" w:type="dxa"/>
          </w:tcPr>
          <w:p>
            <w:pP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Destinatio</w:t>
            </w: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n ip</w:t>
            </w:r>
          </w:p>
        </w:tc>
        <w:tc>
          <w:tcPr>
            <w:tcW w:w="1806" w:type="dxa"/>
          </w:tcPr>
          <w:p>
            <w:pP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Not</w:t>
            </w:r>
            <w:r>
              <w:rPr>
                <w:rFonts w:ascii="Arial Black" w:hAnsi="Arial Black"/>
                <w:sz w:val="20"/>
                <w:szCs w:val="20"/>
                <w:rtl w:val="0"/>
                <w:lang w:val="en-US" w:bidi="en-US" w:eastAsia="en-US"/>
              </w:rPr>
              <w:t>es</w:t>
            </w:r>
          </w:p>
        </w:tc>
      </w:tr>
      <w:tr>
        <w:tc>
          <w:tcPr>
            <w:tcW w:w="1805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2025-08-18 12:00</w:t>
            </w:r>
          </w:p>
        </w:tc>
        <w:tc>
          <w:tcPr>
            <w:tcW w:w="1805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4625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192.168.1.100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8.8.8.8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suspicious dns request</w:t>
            </w:r>
          </w:p>
        </w:tc>
      </w:tr>
      <w:tr>
        <w:tc>
          <w:tcPr>
            <w:tcW w:w="1805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2025-08-18 12:05</w:t>
            </w:r>
          </w:p>
        </w:tc>
        <w:tc>
          <w:tcPr>
            <w:tcW w:w="1805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4625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192.168.1.1</w:t>
            </w: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00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8.8</w:t>
            </w: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.8.8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Repeated failed login</w:t>
            </w:r>
          </w:p>
        </w:tc>
      </w:tr>
      <w:tr>
        <w:tc>
          <w:tcPr>
            <w:tcW w:w="1805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2025-08-18 12:10</w:t>
            </w:r>
          </w:p>
        </w:tc>
        <w:tc>
          <w:tcPr>
            <w:tcW w:w="1805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4625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192.168.1.101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8.8.8.8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0"/>
                <w:szCs w:val="20"/>
                <w:rtl w:val="0"/>
                <w:lang w:val="en-US" w:bidi="en-US" w:eastAsia="en-US"/>
              </w:rPr>
              <w:t>mutiple sources detected</w:t>
            </w:r>
          </w:p>
        </w:tc>
      </w:tr>
    </w:tbl>
    <w:p>
      <w:pPr>
        <w:rPr>
          <w:rFonts w:ascii="Arial Black" w:hAnsi="Arial Black"/>
          <w:sz w:val="28"/>
          <w:szCs w:val="28"/>
          <w:rtl w:val="0"/>
          <w:lang w:val="en-US" w:bidi="en-US" w:eastAsia="en-US"/>
        </w:rPr>
      </w:pPr>
      <w:r>
        <w:rPr>
          <w:rFonts w:ascii="Arial Black" w:hAnsi="Arial Black"/>
          <w:sz w:val="28"/>
          <w:szCs w:val="28"/>
          <w:rtl w:val="0"/>
          <w:lang w:val="en-US" w:bidi="en-US" w:eastAsia="en-US"/>
        </w:rPr>
        <w:t xml:space="preserve">                                                                                      </w:t>
      </w:r>
    </w:p>
    <w:p>
      <w:pPr>
        <w:rPr>
          <w:rFonts w:ascii="Arial Black" w:hAnsi="Arial Black"/>
          <w:sz w:val="28"/>
          <w:szCs w:val="28"/>
          <w:rtl w:val="0"/>
          <w:lang w:val="en-US" w:bidi="en-US" w:eastAsia="en-US"/>
        </w:rPr>
      </w:pPr>
    </w:p>
    <w:p>
      <w:pPr>
        <w:spacing w:before="240" w:after="240" w:beforeAutospacing="0" w:afterAutospacing="0"/>
        <w:ind w:firstLine="0" w:left="0" w:right="0"/>
        <w:outlineLvl w:val="1"/>
        <w:rPr>
          <w:rFonts w:ascii="Arial Black" w:hAnsi="Arial Black"/>
          <w:b w:val="1"/>
          <w:sz w:val="28"/>
          <w:szCs w:val="28"/>
        </w:rPr>
      </w:pPr>
      <w:bookmarkStart w:id="10" w:name="_dx_frag_StartFragment"/>
      <w:bookmarkEnd w:id="10"/>
      <w:r>
        <w:rPr>
          <w:rFonts w:ascii="Arial Black" w:hAnsi="Arial Black"/>
          <w:b w:val="1"/>
          <w:sz w:val="28"/>
          <w:szCs w:val="28"/>
        </w:rPr>
        <w:t>Linux Log Generation</w:t>
      </w:r>
    </w:p>
    <w:p>
      <w:pPr>
        <w:spacing w:before="240" w:after="240" w:beforeAutospacing="0" w:afterAutospacing="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Commands used:</w:t>
      </w:r>
    </w:p>
    <w:p>
      <w:pPr>
        <w:rPr>
          <w:rFonts w:ascii="Calibri" w:hAnsi="Calibri"/>
          <w:sz w:val="28"/>
          <w:szCs w:val="28"/>
        </w:rPr>
      </w:pPr>
      <w:bookmarkStart w:id="11" w:name="code-block-viewer"/>
      <w:bookmarkEnd w:id="11"/>
      <w:r>
        <w:rPr>
          <w:rFonts w:ascii="Calibri" w:hAnsi="Calibri" w:cs="Courier New" w:eastAsia="Courier New"/>
          <w:sz w:val="20"/>
          <w:szCs w:val="20"/>
          <w:rtl w:val="0"/>
        </w:rPr>
        <w:t>logger "Failed login attempt from 192.168.1.100"</w:t>
      </w:r>
      <w:r>
        <w:rPr>
          <w:rFonts w:ascii="Calibri" w:hAnsi="Calibri" w:cs="Courier New" w:eastAsia="Courier New"/>
          <w:sz w:val="20"/>
          <w:szCs w:val="20"/>
          <w:rtl w:val="0"/>
        </w:rPr>
        <w:br w:type="textWrapping"/>
      </w:r>
      <w:r>
        <w:rPr>
          <w:rFonts w:ascii="Calibri" w:hAnsi="Calibri" w:cs="Courier New" w:eastAsia="Courier New"/>
          <w:sz w:val="20"/>
          <w:szCs w:val="20"/>
          <w:rtl w:val="0"/>
        </w:rPr>
        <w:t>cat /var/log/syslog | tail</w:t>
      </w:r>
      <w:bookmarkStart w:id="12" w:name="_dx_frag_EndFragment"/>
      <w:bookmarkEnd w:id="12"/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 </w:t>
      </w:r>
    </w:p>
    <w:p>
      <w:pPr>
        <w:rPr>
          <w:rFonts w:ascii="Arial Black" w:hAnsi="Arial Black"/>
          <w:sz w:val="36"/>
          <w:szCs w:val="36"/>
        </w:rPr>
      </w:pPr>
    </w:p>
    <w:p/>
    <w:p/>
    <w:p>
      <w:pPr>
        <w:rPr>
          <w:sz w:val="28"/>
          <w:szCs w:val="28"/>
          <w:rtl w:val="0"/>
          <w:lang w:val="en-US" w:bidi="en-US" w:eastAsia="en-US"/>
        </w:rPr>
      </w:pPr>
      <w:r>
        <w:rPr>
          <w:sz w:val="28"/>
          <w:szCs w:val="28"/>
          <w:rtl w:val="0"/>
          <w:lang w:val="en-US" w:bidi="en-US" w:eastAsia="en-US"/>
        </w:rPr>
        <w:t xml:space="preserve">         </w:t>
      </w:r>
      <w:r>
        <w:drawing>
          <wp:inline xmlns:wp="http://schemas.openxmlformats.org/drawingml/2006/wordprocessingDrawing" distT="0" distB="0" distL="0" distR="0">
            <wp:extent cx="5733415" cy="4299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rtl w:val="0"/>
          <w:lang w:val="en-US" w:bidi="en-US" w:eastAsia="en-US"/>
        </w:rPr>
      </w:pPr>
    </w:p>
    <w:p>
      <w:pPr>
        <w:spacing w:before="240" w:after="240" w:beforeAutospacing="0" w:afterAutospacing="0"/>
        <w:ind w:firstLine="0" w:left="0" w:right="0"/>
        <w:outlineLvl w:val="1"/>
        <w:rPr>
          <w:rFonts w:ascii="Arial Black" w:hAnsi="Arial Black"/>
          <w:b w:val="1"/>
          <w:sz w:val="28"/>
          <w:szCs w:val="28"/>
        </w:rPr>
      </w:pPr>
      <w:bookmarkStart w:id="13" w:name="_dx_frag_StartFragment"/>
      <w:bookmarkEnd w:id="13"/>
      <w:r>
        <w:rPr>
          <w:rFonts w:ascii="Arial Black" w:hAnsi="Arial Black"/>
          <w:b w:val="1"/>
          <w:sz w:val="28"/>
          <w:szCs w:val="28"/>
        </w:rPr>
        <w:t>Findings</w:t>
      </w:r>
    </w:p>
    <w:p>
      <w:pPr>
        <w:rPr>
          <w:rFonts w:ascii="Calibri" w:hAnsi="Calibri"/>
          <w:sz w:val="28"/>
          <w:szCs w:val="28"/>
          <w:rtl w:val="0"/>
          <w:lang w:val="en-US" w:bidi="en-US" w:eastAsia="en-US"/>
        </w:rPr>
      </w:pPr>
      <w:r>
        <w:rPr>
          <w:rFonts w:ascii="Calibri" w:hAnsi="Calibri"/>
        </w:rPr>
        <w:t>Log correlation helps identify suspicious activity across multiple data sources.</w:t>
      </w:r>
      <w:bookmarkStart w:id="14" w:name="_dx_frag_EndFragment"/>
      <w:bookmarkEnd w:id="14"/>
      <w:r>
        <w:rPr>
          <w:rFonts w:ascii="Calibri" w:hAnsi="Calibri"/>
          <w:sz w:val="28"/>
          <w:szCs w:val="28"/>
          <w:rtl w:val="0"/>
          <w:lang w:val="en-US" w:bidi="en-US" w:eastAsia="en-US"/>
        </w:rPr>
        <w:t xml:space="preserve">            </w:t>
      </w:r>
    </w:p>
    <w:p>
      <w:pPr>
        <w:rPr>
          <w:rFonts w:ascii="Calibri" w:hAnsi="Calibri"/>
          <w:sz w:val="28"/>
          <w:szCs w:val="28"/>
          <w:rtl w:val="0"/>
          <w:lang w:val="en-US" w:bidi="en-US" w:eastAsia="en-US"/>
        </w:rPr>
      </w:pPr>
    </w:p>
    <w:p>
      <w:pPr>
        <w:spacing w:before="240" w:after="240" w:beforeAutospacing="0" w:afterAutospacing="0"/>
        <w:ind w:firstLine="0" w:left="0" w:right="0"/>
        <w:outlineLvl w:val="0"/>
        <w:rPr>
          <w:b w:val="1"/>
          <w:sz w:val="28"/>
          <w:szCs w:val="28"/>
        </w:rPr>
      </w:pPr>
      <w:bookmarkStart w:id="15" w:name="_dx_frag_StartFragment"/>
      <w:bookmarkEnd w:id="15"/>
      <w:r>
        <w:rPr>
          <w:b w:val="1"/>
          <w:sz w:val="28"/>
          <w:szCs w:val="28"/>
        </w:rPr>
        <w:t>2. THREAT INTELLIGENCE INTEGRATION</w:t>
      </w:r>
    </w:p>
    <w:p>
      <w:pPr>
        <w:rPr>
          <w:rFonts w:ascii="Calibri" w:hAnsi="Calibri"/>
          <w:sz w:val="28"/>
          <w:szCs w:val="28"/>
          <w:rtl w:val="0"/>
          <w:lang w:val="en-US" w:bidi="en-US" w:eastAsia="en-US"/>
        </w:rPr>
      </w:pPr>
      <w:r>
        <w:rPr>
          <w:rFonts w:ascii="Calibri" w:hAnsi="Calibri"/>
          <w:b w:val="1"/>
          <w:sz w:val="28"/>
          <w:szCs w:val="28"/>
        </w:rPr>
        <w:t>Alert Enrichment Table</w:t>
      </w:r>
      <w:bookmarkStart w:id="16" w:name="_dx_frag_EndFragment"/>
      <w:bookmarkEnd w:id="16"/>
      <w:r>
        <w:rPr>
          <w:rFonts w:ascii="Calibri" w:hAnsi="Calibri"/>
          <w:sz w:val="28"/>
          <w:szCs w:val="28"/>
          <w:rtl w:val="0"/>
          <w:lang w:val="en-US" w:bidi="en-US" w:eastAsia="en-US"/>
        </w:rPr>
        <w:t xml:space="preserve">         </w:t>
      </w:r>
    </w:p>
    <w:tbl>
      <w:tblPr>
        <w:tblStyle w:val="T1"/>
        <w:tblW w:w="0" w:type="auto"/>
        <w:tblLook w:val="04A0"/>
      </w:tblPr>
      <w:tblGrid>
        <w:gridCol w:w="2253"/>
        <w:gridCol w:w="2256"/>
        <w:gridCol w:w="2255"/>
        <w:gridCol w:w="2255"/>
      </w:tblGrid>
      <w:tr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Alert Id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IP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Reputation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Notes</w:t>
            </w:r>
          </w:p>
        </w:tc>
      </w:tr>
      <w:tr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033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192.168.1.100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Malicious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 w:bidi="en-US" w:eastAsia="en-US"/>
              </w:rPr>
              <w:t>Possible C2</w:t>
            </w:r>
          </w:p>
        </w:tc>
      </w:tr>
    </w:tbl>
    <w:p>
      <w:pPr>
        <w:spacing w:before="240" w:after="240"/>
        <w:ind w:firstLine="0" w:left="0" w:right="0"/>
        <w:rPr>
          <w:rFonts w:ascii="Arial Black" w:hAnsi="Arial Black"/>
        </w:rPr>
      </w:pPr>
      <w:r>
        <w:rPr>
          <w:rFonts w:ascii="Calibri" w:hAnsi="Calibri"/>
          <w:sz w:val="28"/>
          <w:szCs w:val="28"/>
          <w:rtl w:val="0"/>
          <w:lang w:val="en-US" w:bidi="en-US" w:eastAsia="en-US"/>
        </w:rPr>
        <w:t xml:space="preserve">  </w:t>
      </w:r>
      <w:bookmarkStart w:id="17" w:name="_dx_frag_StartFragment"/>
      <w:bookmarkEnd w:id="17"/>
      <w:r>
        <w:rPr>
          <w:rFonts w:ascii="Arial Black" w:hAnsi="Arial Black"/>
          <w:b w:val="1"/>
          <w:bCs w:val="1"/>
        </w:rPr>
        <w:t>Threat Hunting Summary: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i w:val="1"/>
          <w:iCs w:val="1"/>
          <w:sz w:val="22"/>
          <w:szCs w:val="22"/>
        </w:rPr>
        <w:t>to validate the threat and confirmed suspicious activity in the netwo</w:t>
      </w:r>
      <w:r>
        <w:rPr>
          <w:rFonts w:ascii="Calibri" w:hAnsi="Calibri"/>
          <w:i w:val="1"/>
          <w:iCs w:val="1"/>
          <w:sz w:val="22"/>
          <w:szCs w:val="22"/>
        </w:rPr>
        <w:t xml:space="preserve">"During threat hunting I searched for suspicious IPs using AlienVault OTX threat feeds. The IP 192.168.1.100 was identified as malicious and linked to a C2 server. I used IOC matching </w:t>
      </w:r>
      <w:r>
        <w:rPr>
          <w:rFonts w:ascii="Calibri" w:hAnsi="Calibri"/>
          <w:i w:val="1"/>
          <w:iCs w:val="1"/>
          <w:sz w:val="22"/>
          <w:szCs w:val="22"/>
        </w:rPr>
        <w:t>rk logs."</w:t>
      </w:r>
      <w:bookmarkStart w:id="18" w:name="_dx_frag_EndFragment"/>
      <w:bookmarkEnd w:id="18"/>
      <w:r>
        <w:rPr>
          <w:rFonts w:ascii="Calibri" w:hAnsi="Calibri"/>
          <w:sz w:val="22"/>
          <w:szCs w:val="22"/>
          <w:rtl w:val="0"/>
          <w:lang w:val="en-US" w:bidi="en-US" w:eastAsia="en-US"/>
        </w:rPr>
        <w:t xml:space="preserve">                                                                                                                                   </w:t>
      </w:r>
    </w:p>
    <w:p>
      <w:pPr>
        <w:rPr>
          <w:rFonts w:ascii="Arial Black" w:hAnsi="Arial Black"/>
          <w:sz w:val="28"/>
          <w:szCs w:val="28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 xml:space="preserve">                                                                                        </w:t>
      </w:r>
      <w:r>
        <w:rPr>
          <w:sz w:val="28"/>
          <w:szCs w:val="28"/>
          <w:rtl w:val="0"/>
          <w:lang w:val="en-US" w:bidi="en-US" w:eastAsia="en-US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ascii="Arial Black" w:hAnsi="Arial Black"/>
          <w:sz w:val="28"/>
          <w:szCs w:val="28"/>
        </w:rPr>
      </w:pPr>
      <w:r>
        <w:rPr>
          <w:sz w:val="28"/>
          <w:szCs w:val="28"/>
          <w:rtl w:val="0"/>
          <w:lang w:val="en-US" w:bidi="en-US" w:eastAsia="en-US"/>
        </w:rPr>
        <w:t xml:space="preserve">                  </w:t>
      </w:r>
    </w:p>
    <w:p>
      <w:pPr>
        <w:spacing w:before="240" w:after="240" w:beforeAutospacing="0" w:afterAutospacing="0"/>
        <w:ind w:firstLine="0" w:left="0" w:right="0"/>
        <w:outlineLvl w:val="1"/>
        <w:rPr>
          <w:b w:val="1"/>
          <w:sz w:val="36"/>
        </w:rPr>
      </w:pPr>
      <w:bookmarkStart w:id="19" w:name="_dx_frag_StartFragment"/>
      <w:bookmarkEnd w:id="19"/>
      <w:r>
        <w:rPr>
          <w:b w:val="1"/>
          <w:sz w:val="36"/>
          <w:szCs w:val="36"/>
        </w:rPr>
        <w:t>Threat Hunting</w:t>
      </w:r>
    </w:p>
    <w:p>
      <w:pPr>
        <w:rPr>
          <w:rFonts w:ascii="Calibri" w:hAnsi="Calibri"/>
        </w:rPr>
      </w:pPr>
      <w:r>
        <w:rPr>
          <w:rFonts w:ascii="Calibri" w:hAnsi="Calibri"/>
        </w:rPr>
        <w:t>Threat intelligence feeds were used to validate suspicious indicators.</w:t>
      </w:r>
      <w:bookmarkStart w:id="20" w:name="_dx_frag_EndFragment"/>
      <w:bookmarkEnd w:id="20"/>
    </w:p>
    <w:p>
      <w:pPr>
        <w:rPr>
          <w:rFonts w:ascii="Calibri" w:hAnsi="Calibri"/>
        </w:rPr>
      </w:pPr>
    </w:p>
    <w:p>
      <w:pPr>
        <w:spacing w:before="240" w:after="240" w:beforeAutospacing="0" w:afterAutospacing="0"/>
        <w:ind w:firstLine="0" w:left="0" w:right="0"/>
        <w:outlineLvl w:val="0"/>
        <w:rPr>
          <w:b w:val="1"/>
          <w:sz w:val="48"/>
        </w:rPr>
      </w:pPr>
      <w:bookmarkStart w:id="21" w:name="_dx_frag_StartFragment"/>
      <w:bookmarkEnd w:id="21"/>
      <w:r>
        <w:rPr>
          <w:b w:val="1"/>
          <w:sz w:val="36"/>
          <w:szCs w:val="36"/>
        </w:rPr>
        <w:t>3. INCIDENT ESCALATION PRACTICE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Escalation Summary</w:t>
      </w:r>
      <w:bookmarkStart w:id="22" w:name="_dx_frag_EndFragment"/>
      <w:bookmarkEnd w:id="22"/>
    </w:p>
    <w:p>
      <w:pPr>
        <w:rPr>
          <w:rFonts w:ascii="Calibri" w:hAnsi="Calibri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/>
          <w:b w:val="0"/>
          <w:bCs w:val="0"/>
          <w:sz w:val="24"/>
          <w:szCs w:val="24"/>
          <w:rtl w:val="0"/>
          <w:lang w:val="en-US" w:bidi="en-US" w:eastAsia="en-US"/>
        </w:rPr>
        <w:t>unauthorized acces detected on server - y multiple suspicious observed from 192.168.1.200 escalated to tier 2 for deeper investigation</w:t>
      </w:r>
    </w:p>
    <w:p>
      <w:pPr>
        <w:rPr>
          <w:rFonts w:ascii="Calibri" w:hAnsi="Calibri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rPr>
          <w:rFonts w:ascii="Calibri" w:hAnsi="Calibri"/>
          <w:b w:val="0"/>
          <w:bCs w:val="0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3415" cy="4298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83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rPr>
          <w:rFonts w:ascii="Arial Black" w:hAnsi="Arial Black"/>
          <w:sz w:val="28"/>
          <w:szCs w:val="28"/>
        </w:rPr>
      </w:pPr>
      <w:bookmarkStart w:id="23" w:name="_dx_frag_StartFragment"/>
      <w:bookmarkEnd w:id="23"/>
      <w:r>
        <w:rPr>
          <w:rFonts w:ascii="Arial Black" w:hAnsi="Arial Black"/>
          <w:b w:val="1"/>
          <w:sz w:val="28"/>
          <w:szCs w:val="28"/>
        </w:rPr>
        <w:t>4. ALERT TRIAGE WITH THREAT INTELLIGENCE</w:t>
      </w:r>
      <w:bookmarkStart w:id="24" w:name="_dx_frag_EndFragment"/>
      <w:bookmarkEnd w:id="24"/>
    </w:p>
    <w:tbl>
      <w:tblPr>
        <w:tblStyle w:val="T1"/>
        <w:tblW w:w="0" w:type="auto"/>
        <w:tblLook w:val="04A0"/>
      </w:tblPr>
      <w:tblGrid>
        <w:gridCol w:w="1801"/>
        <w:gridCol w:w="1804"/>
        <w:gridCol w:w="1806"/>
        <w:gridCol w:w="1804"/>
        <w:gridCol w:w="1804"/>
      </w:tblGrid>
      <w:tr>
        <w:tc>
          <w:tcPr>
            <w:tcW w:w="1805" w:type="dxa"/>
          </w:tcPr>
          <w:p>
            <w:r>
              <w:rPr>
                <w:rtl w:val="0"/>
                <w:lang w:val="en-US" w:bidi="en-US" w:eastAsia="en-US"/>
              </w:rPr>
              <w:t xml:space="preserve">Alert Id </w:t>
            </w:r>
          </w:p>
        </w:tc>
        <w:tc>
          <w:tcPr>
            <w:tcW w:w="1805" w:type="dxa"/>
          </w:tcPr>
          <w:p>
            <w:r>
              <w:rPr>
                <w:rtl w:val="0"/>
                <w:lang w:val="en-US" w:bidi="en-US" w:eastAsia="en-US"/>
              </w:rPr>
              <w:t>Description</w:t>
            </w:r>
          </w:p>
        </w:tc>
        <w:tc>
          <w:tcPr>
            <w:tcW w:w="1806" w:type="dxa"/>
          </w:tcPr>
          <w:p>
            <w:r>
              <w:rPr>
                <w:rtl w:val="0"/>
                <w:lang w:val="en-US" w:bidi="en-US" w:eastAsia="en-US"/>
              </w:rPr>
              <w:t>source ip</w:t>
            </w:r>
          </w:p>
        </w:tc>
        <w:tc>
          <w:tcPr>
            <w:tcW w:w="1806" w:type="dxa"/>
          </w:tcPr>
          <w:p>
            <w:r>
              <w:rPr>
                <w:rtl w:val="0"/>
                <w:lang w:val="en-US" w:bidi="en-US" w:eastAsia="en-US"/>
              </w:rPr>
              <w:t>priority</w:t>
            </w:r>
          </w:p>
        </w:tc>
        <w:tc>
          <w:tcPr>
            <w:tcW w:w="1806" w:type="dxa"/>
          </w:tcPr>
          <w:p>
            <w:r>
              <w:rPr>
                <w:rtl w:val="0"/>
                <w:lang w:val="en-US" w:bidi="en-US" w:eastAsia="en-US"/>
              </w:rPr>
              <w:t>status</w:t>
            </w:r>
          </w:p>
        </w:tc>
      </w:tr>
      <w:tr>
        <w:tc>
          <w:tcPr>
            <w:tcW w:w="1805" w:type="dxa"/>
          </w:tcPr>
          <w:p>
            <w:r>
              <w:rPr>
                <w:rtl w:val="0"/>
                <w:lang w:val="en-US" w:bidi="en-US" w:eastAsia="en-US"/>
              </w:rPr>
              <w:t>004</w:t>
            </w:r>
          </w:p>
        </w:tc>
        <w:tc>
          <w:tcPr>
            <w:tcW w:w="1805" w:type="dxa"/>
          </w:tcPr>
          <w:p>
            <w:r>
              <w:rPr>
                <w:rtl w:val="0"/>
                <w:lang w:val="en-US" w:bidi="en-US" w:eastAsia="en-US"/>
              </w:rPr>
              <w:t>powershall execution</w:t>
            </w:r>
          </w:p>
        </w:tc>
        <w:tc>
          <w:tcPr>
            <w:tcW w:w="1806" w:type="dxa"/>
          </w:tcPr>
          <w:p>
            <w:r>
              <w:rPr>
                <w:rtl w:val="0"/>
                <w:lang w:val="en-US" w:bidi="en-US" w:eastAsia="en-US"/>
              </w:rPr>
              <w:t>192.168.1.101</w:t>
            </w:r>
          </w:p>
        </w:tc>
        <w:tc>
          <w:tcPr>
            <w:tcW w:w="1806" w:type="dxa"/>
          </w:tcPr>
          <w:p>
            <w:r>
              <w:rPr>
                <w:rtl w:val="0"/>
                <w:lang w:val="en-US" w:bidi="en-US" w:eastAsia="en-US"/>
              </w:rPr>
              <w:t>high</w:t>
            </w:r>
          </w:p>
        </w:tc>
        <w:tc>
          <w:tcPr>
            <w:tcW w:w="1806" w:type="dxa"/>
          </w:tcPr>
          <w:p>
            <w:r>
              <w:rPr>
                <w:rtl w:val="0"/>
                <w:lang w:val="en-US" w:bidi="en-US" w:eastAsia="en-US"/>
              </w:rPr>
              <w:t>open</w:t>
            </w:r>
          </w:p>
        </w:tc>
      </w:tr>
    </w:tbl>
    <w:p/>
    <w:p>
      <w:pPr>
        <w:spacing w:before="240" w:after="240" w:beforeAutospacing="0" w:afterAutospacing="0"/>
        <w:ind w:firstLine="0" w:left="0" w:right="0"/>
        <w:outlineLvl w:val="1"/>
        <w:rPr>
          <w:rFonts w:ascii="Calibri" w:hAnsi="Calibri"/>
        </w:rPr>
      </w:pPr>
      <w:bookmarkStart w:id="25" w:name="_dx_frag_StartFragment"/>
      <w:bookmarkEnd w:id="25"/>
      <w:r>
        <w:rPr>
          <w:b w:val="1"/>
          <w:sz w:val="36"/>
          <w:szCs w:val="36"/>
        </w:rPr>
        <w:t>IOC Validatio</w:t>
      </w:r>
      <w:r>
        <w:rPr>
          <w:b w:val="1"/>
          <w:sz w:val="36"/>
          <w:szCs w:val="36"/>
          <w:rtl w:val="0"/>
          <w:lang w:val="en-US" w:bidi="en-US" w:eastAsia="en-US"/>
        </w:rPr>
        <w:t>n</w:t>
      </w:r>
    </w:p>
    <w:p>
      <w:pPr>
        <w:spacing w:before="240" w:after="240" w:beforeAutospacing="0" w:afterAutospacing="0"/>
        <w:ind w:firstLine="0" w:left="0" w:right="0"/>
        <w:outlineLvl w:val="1"/>
        <w:rPr>
          <w:rFonts w:ascii="Calibri" w:hAnsi="Calibri"/>
        </w:rPr>
      </w:pPr>
      <w:r>
        <w:rPr>
          <w:rFonts w:ascii="Calibri" w:hAnsi="Calibri"/>
        </w:rPr>
        <w:t>IOC validation was performed using reputation lookup tools.</w:t>
      </w:r>
      <w:bookmarkStart w:id="26" w:name="_dx_frag_EndFragment"/>
      <w:bookmarkEnd w:id="26"/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  <w:r>
        <w:drawing>
          <wp:inline xmlns:wp="http://schemas.openxmlformats.org/drawingml/2006/wordprocessingDrawing" distT="0" distB="0" distL="0" distR="0">
            <wp:extent cx="5733415" cy="3006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rPr>
          <w:rFonts w:ascii="Arial Black" w:hAnsi="Arial Black"/>
        </w:rPr>
      </w:pPr>
      <w:bookmarkStart w:id="27" w:name="_dx_frag_StartFragment"/>
      <w:bookmarkEnd w:id="27"/>
      <w:r>
        <w:rPr>
          <w:rFonts w:ascii="Arial Black" w:hAnsi="Arial Black"/>
          <w:b w:val="1"/>
          <w:bCs w:val="1"/>
        </w:rPr>
        <w:t>IOC Validation Summary:</w:t>
      </w:r>
    </w:p>
    <w:p>
      <w:pPr>
        <w:rPr>
          <w:rFonts w:ascii="Calibri" w:hAnsi="Calibri"/>
        </w:rPr>
      </w:pPr>
      <w:r>
        <w:rPr>
          <w:rFonts w:ascii="Calibri" w:hAnsi="Calibri"/>
          <w:i w:val="1"/>
          <w:iCs w:val="1"/>
        </w:rPr>
        <w:t>"I validated the suspicious IP 192.168.1.101 using VirusTotal and AlienVault OTX. The IP was flagged as malicious and linked to PowerShell execution activity. The IOC validation confirmed the alert was a true positive and required immediate escalation to Tier 2."</w:t>
      </w:r>
      <w:bookmarkStart w:id="28" w:name="_dx_frag_EndFragment"/>
      <w:bookmarkEnd w:id="28"/>
    </w:p>
    <w:p>
      <w:pPr>
        <w:spacing w:before="240" w:after="240" w:beforeAutospacing="0" w:afterAutospacing="0"/>
        <w:ind w:firstLine="0" w:left="0" w:right="0"/>
        <w:outlineLvl w:val="0"/>
        <w:rPr>
          <w:b w:val="1"/>
          <w:sz w:val="36"/>
          <w:szCs w:val="36"/>
        </w:rPr>
      </w:pPr>
      <w:bookmarkStart w:id="29" w:name="_dx_frag_StartFragment"/>
      <w:bookmarkEnd w:id="29"/>
      <w:r>
        <w:rPr>
          <w:b w:val="1"/>
          <w:sz w:val="36"/>
          <w:szCs w:val="36"/>
        </w:rPr>
        <w:t>5. EVIDENCE PRESERVATION</w:t>
      </w:r>
    </w:p>
    <w:tbl>
      <w:tblPr>
        <w:tblStyle w:val="T1"/>
        <w:tblW w:w="0" w:type="auto"/>
        <w:tblLook w:val="04A0"/>
      </w:tblPr>
      <w:tblGrid>
        <w:gridCol w:w="1802"/>
        <w:gridCol w:w="1804"/>
        <w:gridCol w:w="1804"/>
        <w:gridCol w:w="1804"/>
        <w:gridCol w:w="1805"/>
      </w:tblGrid>
      <w:tr>
        <w:tc>
          <w:tcPr>
            <w:tcW w:w="1805" w:type="dxa"/>
          </w:tcPr>
          <w:p>
            <w:pPr>
              <w:spacing w:before="240" w:after="240" w:beforeAutospacing="0" w:afterAutospacing="0"/>
              <w:ind w:firstLine="0" w:left="0" w:right="0"/>
            </w:pPr>
            <w:bookmarkStart w:id="30" w:name="code-block-viewer"/>
            <w:bookmarkEnd w:id="30"/>
            <w:bookmarkStart w:id="31" w:name="_dx_frag_EndFragment"/>
            <w:bookmarkEnd w:id="31"/>
            <w:r>
              <w:rPr>
                <w:rtl w:val="0"/>
                <w:lang w:val="en-US" w:bidi="en-US" w:eastAsia="en-US"/>
              </w:rPr>
              <w:t>Item</w:t>
            </w:r>
          </w:p>
        </w:tc>
        <w:tc>
          <w:tcPr>
            <w:tcW w:w="1805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description</w:t>
            </w:r>
          </w:p>
        </w:tc>
        <w:tc>
          <w:tcPr>
            <w:tcW w:w="1806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collected by</w:t>
            </w:r>
          </w:p>
        </w:tc>
        <w:tc>
          <w:tcPr>
            <w:tcW w:w="1806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date</w:t>
            </w:r>
          </w:p>
        </w:tc>
        <w:tc>
          <w:tcPr>
            <w:tcW w:w="1806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hash</w:t>
            </w:r>
          </w:p>
        </w:tc>
      </w:tr>
      <w:tr>
        <w:tc>
          <w:tcPr>
            <w:tcW w:w="1805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memory dump</w:t>
            </w:r>
          </w:p>
        </w:tc>
        <w:tc>
          <w:tcPr>
            <w:tcW w:w="1805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server-y</w:t>
            </w:r>
          </w:p>
        </w:tc>
        <w:tc>
          <w:tcPr>
            <w:tcW w:w="1806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soc analyst</w:t>
            </w:r>
          </w:p>
        </w:tc>
        <w:tc>
          <w:tcPr>
            <w:tcW w:w="1806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today</w:t>
            </w:r>
          </w:p>
        </w:tc>
        <w:tc>
          <w:tcPr>
            <w:tcW w:w="1806" w:type="dxa"/>
          </w:tcPr>
          <w:p>
            <w:pPr>
              <w:spacing w:before="240" w:after="240" w:beforeAutospacing="0" w:afterAutospacing="0"/>
              <w:ind w:firstLine="0" w:left="0" w:right="0"/>
            </w:pPr>
            <w:r>
              <w:rPr>
                <w:rtl w:val="0"/>
                <w:lang w:val="en-US" w:bidi="en-US" w:eastAsia="en-US"/>
              </w:rPr>
              <w:t>example</w:t>
            </w:r>
          </w:p>
        </w:tc>
      </w:tr>
    </w:tbl>
    <w:p>
      <w:pPr>
        <w:spacing w:before="240" w:after="240" w:beforeAutospacing="0" w:afterAutospacing="0"/>
        <w:ind w:firstLine="0" w:left="0" w:right="0"/>
      </w:pPr>
      <w:bookmarkStart w:id="32" w:name="_dx_frag_StartFragment"/>
      <w:bookmarkEnd w:id="32"/>
      <w:r>
        <w:t>Commands used:</w:t>
      </w:r>
    </w:p>
    <w:p>
      <w:pPr>
        <w:spacing w:before="240" w:after="240" w:beforeAutospacing="0" w:afterAutospacing="0"/>
        <w:ind w:firstLine="0" w:left="0" w:right="0"/>
      </w:pPr>
      <w:bookmarkStart w:id="33" w:name="code-block-viewer"/>
      <w:bookmarkEnd w:id="33"/>
      <w:r>
        <w:rPr>
          <w:rFonts w:ascii="Courier New" w:hAnsi="Courier New" w:cs="Courier New" w:eastAsia="Courier New"/>
          <w:sz w:val="20"/>
          <w:szCs w:val="20"/>
          <w:rtl w:val="0"/>
        </w:rPr>
        <w:t>echo "suspicious login detected" &gt; evidence.txt</w:t>
      </w:r>
      <w:r>
        <w:rPr>
          <w:rFonts w:ascii="Courier New" w:hAnsi="Courier New" w:cs="Courier New" w:eastAsia="Courier New"/>
          <w:sz w:val="20"/>
          <w:szCs w:val="20"/>
          <w:rtl w:val="0"/>
        </w:rPr>
        <w:br w:type="textWrapping"/>
      </w:r>
      <w:r>
        <w:rPr>
          <w:rFonts w:ascii="Courier New" w:hAnsi="Courier New" w:cs="Courier New" w:eastAsia="Courier New"/>
          <w:sz w:val="20"/>
          <w:szCs w:val="20"/>
          <w:rtl w:val="0"/>
        </w:rPr>
        <w:t>cat evidence.txt</w:t>
      </w:r>
      <w:r>
        <w:rPr>
          <w:rFonts w:ascii="Courier New" w:hAnsi="Courier New" w:cs="Courier New" w:eastAsia="Courier New"/>
          <w:sz w:val="20"/>
          <w:szCs w:val="20"/>
          <w:rtl w:val="0"/>
        </w:rPr>
        <w:br w:type="textWrapping"/>
      </w:r>
      <w:r>
        <w:rPr>
          <w:rFonts w:ascii="Courier New" w:hAnsi="Courier New" w:cs="Courier New" w:eastAsia="Courier New"/>
          <w:sz w:val="20"/>
          <w:szCs w:val="20"/>
          <w:rtl w:val="0"/>
        </w:rPr>
        <w:t>sha256sum evidence.txt</w:t>
      </w:r>
      <w:bookmarkStart w:id="34" w:name="_dx_frag_EndFragment"/>
      <w:bookmarkEnd w:id="34"/>
    </w:p>
    <w:p/>
    <w:p>
      <w:r>
        <w:drawing>
          <wp:inline xmlns:wp="http://schemas.openxmlformats.org/drawingml/2006/wordprocessingDrawing" distT="0" distB="0" distL="0" distR="0">
            <wp:extent cx="5733415" cy="3385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5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rPr>
          <w:rFonts w:ascii="Calibri" w:hAnsi="Calibri"/>
          <w:b w:val="1"/>
          <w:sz w:val="36"/>
        </w:rPr>
      </w:pPr>
      <w:r>
        <w:drawing>
          <wp:inline xmlns:wp="http://schemas.openxmlformats.org/drawingml/2006/wordprocessingDrawing" distT="0" distB="0" distL="0" distR="0">
            <wp:extent cx="5733415" cy="32327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2785"/>
                    </a:xfrm>
                    <a:prstGeom prst="rect"/>
                  </pic:spPr>
                </pic:pic>
              </a:graphicData>
            </a:graphic>
          </wp:inline>
        </w:drawing>
      </w:r>
      <w:bookmarkStart w:id="35" w:name="_dx_frag_StartFragment"/>
      <w:bookmarkEnd w:id="35"/>
    </w:p>
    <w:p>
      <w:bookmarkStart w:id="36" w:name="code-block-viewer"/>
      <w:bookmarkEnd w:id="36"/>
      <w:bookmarkStart w:id="37" w:name="_dx_frag_EndFragment"/>
      <w:bookmarkEnd w:id="37"/>
    </w:p>
    <w:p/>
    <w:p>
      <w:pPr>
        <w:spacing w:before="240" w:after="240" w:beforeAutospacing="0" w:afterAutospacing="0"/>
        <w:ind w:firstLine="0" w:left="0" w:right="0"/>
        <w:outlineLvl w:val="0"/>
        <w:rPr>
          <w:rFonts w:ascii="Arial Black" w:hAnsi="Arial Black"/>
          <w:b w:val="1"/>
          <w:sz w:val="28"/>
          <w:szCs w:val="28"/>
        </w:rPr>
      </w:pPr>
      <w:bookmarkStart w:id="38" w:name="_dx_frag_StartFragment"/>
      <w:bookmarkEnd w:id="38"/>
      <w:r>
        <w:rPr>
          <w:rFonts w:ascii="Arial Black" w:hAnsi="Arial Black"/>
          <w:b w:val="1"/>
          <w:sz w:val="28"/>
          <w:szCs w:val="28"/>
        </w:rPr>
        <w:t>6. CAPSTONE PROJECT</w:t>
      </w:r>
    </w:p>
    <w:p>
      <w:pPr>
        <w:spacing w:before="240" w:after="240" w:beforeAutospacing="0" w:afterAutospacing="0"/>
        <w:ind w:firstLine="0" w:left="0" w:right="0"/>
        <w:outlineLvl w:val="0"/>
        <w:rPr>
          <w:b w:val="1"/>
          <w:sz w:val="36"/>
        </w:rPr>
      </w:pPr>
      <w:r>
        <w:rPr>
          <w:rFonts w:ascii="Arial Black" w:hAnsi="Arial Black"/>
          <w:b w:val="1"/>
          <w:sz w:val="28"/>
          <w:szCs w:val="28"/>
        </w:rPr>
        <w:t>Commands Used</w:t>
      </w:r>
    </w:p>
    <w:p>
      <w:pPr>
        <w:rPr>
          <w:rFonts w:ascii="Courier New" w:hAnsi="Courier New" w:cs="Courier New" w:eastAsia="Courier New"/>
          <w:sz w:val="20"/>
          <w:szCs w:val="20"/>
          <w:rtl w:val="0"/>
        </w:rPr>
      </w:pPr>
      <w:bookmarkStart w:id="39" w:name="code-block-viewer"/>
      <w:bookmarkEnd w:id="39"/>
      <w:r>
        <w:rPr>
          <w:rFonts w:ascii="Courier New" w:hAnsi="Courier New" w:cs="Courier New" w:eastAsia="Courier New"/>
          <w:sz w:val="20"/>
          <w:szCs w:val="20"/>
          <w:rtl w:val="0"/>
        </w:rPr>
        <w:t>msfconsole</w:t>
      </w:r>
      <w:r>
        <w:rPr>
          <w:rFonts w:ascii="Courier New" w:hAnsi="Courier New" w:cs="Courier New" w:eastAsia="Courier New"/>
          <w:sz w:val="20"/>
          <w:szCs w:val="20"/>
          <w:rtl w:val="0"/>
        </w:rPr>
        <w:br w:type="textWrapping"/>
      </w:r>
      <w:r>
        <w:rPr>
          <w:rFonts w:ascii="Courier New" w:hAnsi="Courier New" w:cs="Courier New" w:eastAsia="Courier New"/>
          <w:sz w:val="20"/>
          <w:szCs w:val="20"/>
          <w:rtl w:val="0"/>
        </w:rPr>
        <w:t>search samba</w:t>
      </w:r>
      <w:bookmarkStart w:id="40" w:name="_dx_frag_EndFragment"/>
      <w:bookmarkEnd w:id="40"/>
    </w:p>
    <w:p>
      <w:r>
        <w:drawing>
          <wp:inline xmlns:wp="http://schemas.openxmlformats.org/drawingml/2006/wordprocessingDrawing" distT="0" distB="0" distL="0" distR="0">
            <wp:extent cx="5733415" cy="35280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28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rFonts w:ascii="Arial Black" w:hAnsi="Arial Black"/>
        </w:rPr>
      </w:pPr>
      <w:bookmarkStart w:id="41" w:name="_dx_frag_StartFragment"/>
      <w:bookmarkEnd w:id="41"/>
      <w:r>
        <w:rPr>
          <w:rFonts w:ascii="Arial Black" w:hAnsi="Arial Black"/>
        </w:rPr>
        <w:t>Detection Table</w:t>
      </w:r>
      <w:bookmarkStart w:id="42" w:name="_dx_frag_EndFragment"/>
      <w:bookmarkEnd w:id="42"/>
    </w:p>
    <w:tbl>
      <w:tblPr>
        <w:tblStyle w:val="T1"/>
        <w:tblW w:w="0" w:type="auto"/>
        <w:tblLook w:val="04A0"/>
      </w:tblPr>
      <w:tblGrid>
        <w:gridCol w:w="2254"/>
        <w:gridCol w:w="2256"/>
        <w:gridCol w:w="2255"/>
        <w:gridCol w:w="2254"/>
      </w:tblGrid>
      <w:tr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>Timestamp</w:t>
            </w:r>
          </w:p>
        </w:tc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>source ip</w:t>
            </w:r>
          </w:p>
        </w:tc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>alert description</w:t>
            </w:r>
          </w:p>
        </w:tc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 xml:space="preserve"> mitre</w:t>
            </w:r>
          </w:p>
        </w:tc>
      </w:tr>
      <w:tr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>2025-08-18 14:00</w:t>
            </w:r>
          </w:p>
        </w:tc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>192.168.1.101</w:t>
            </w:r>
          </w:p>
        </w:tc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>samba exploit</w:t>
            </w:r>
          </w:p>
        </w:tc>
        <w:tc>
          <w:tcPr>
            <w:tcW w:w="2257" w:type="dxa"/>
          </w:tcPr>
          <w:p>
            <w:r>
              <w:rPr>
                <w:rtl w:val="0"/>
                <w:lang w:val="en-US" w:bidi="en-US" w:eastAsia="en-US"/>
              </w:rPr>
              <w:t>T1210</w:t>
            </w:r>
          </w:p>
        </w:tc>
      </w:tr>
    </w:tbl>
    <w:p/>
    <w:p>
      <w:pPr>
        <w:spacing w:before="240" w:after="240" w:beforeAutospacing="0" w:afterAutospacing="0"/>
        <w:ind w:firstLine="0" w:left="0" w:right="0"/>
        <w:outlineLvl w:val="1"/>
        <w:rPr>
          <w:b w:val="1"/>
          <w:sz w:val="36"/>
        </w:rPr>
      </w:pPr>
      <w:bookmarkStart w:id="43" w:name="_dx_frag_StartFragment"/>
      <w:bookmarkEnd w:id="43"/>
      <w:r>
        <w:rPr>
          <w:b w:val="1"/>
          <w:sz w:val="36"/>
          <w:szCs w:val="36"/>
        </w:rPr>
        <w:t>Containment Actions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</w:pPr>
      <w:r>
        <w:t xml:space="preserve">Isolated affected machine 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</w:pPr>
      <w:r>
        <w:t xml:space="preserve">Blocked suspicious IP 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 w:right="0"/>
      </w:pPr>
      <w:r>
        <w:t>Verified containment</w:t>
      </w:r>
      <w:bookmarkStart w:id="44" w:name="_dx_frag_EndFragment"/>
      <w:bookmarkEnd w:id="44"/>
    </w:p>
    <w:p/>
    <w:p/>
    <w:p/>
    <w:p/>
    <w:p/>
    <w:p>
      <w:pPr>
        <w:spacing w:before="240" w:after="240"/>
        <w:ind w:firstLine="0" w:left="0" w:right="0"/>
        <w:rPr>
          <w:rFonts w:ascii="Arial Black" w:hAnsi="Arial Black"/>
        </w:rPr>
      </w:pPr>
      <w:bookmarkStart w:id="45" w:name="_dx_frag_StartFragment"/>
      <w:bookmarkEnd w:id="45"/>
      <w:r>
        <w:rPr>
          <w:rFonts w:ascii="Arial Black" w:hAnsi="Arial Black"/>
          <w:b w:val="1"/>
          <w:bCs w:val="1"/>
        </w:rPr>
        <w:t>Capstone Report:</w:t>
      </w:r>
    </w:p>
    <w:p>
      <w:pPr>
        <w:rPr>
          <w:rFonts w:ascii="Calibri" w:hAnsi="Calibri"/>
          <w:i w:val="1"/>
          <w:iCs w:val="1"/>
        </w:rPr>
      </w:pPr>
      <w:r>
        <w:rPr>
          <w:b w:val="1"/>
          <w:bCs w:val="1"/>
        </w:rPr>
        <w:t>Executive Summary:</w:t>
      </w:r>
      <w:r>
        <w:t xml:space="preserve"> </w:t>
      </w:r>
      <w:r>
        <w:rPr>
          <w:rFonts w:ascii="Calibri" w:hAnsi="Calibri"/>
          <w:i w:val="1"/>
          <w:iCs w:val="1"/>
        </w:rPr>
        <w:t>A security incident was simulated using Metasploit tool. A Samba vulnerability was exploited from IP 192.168.1.101. The attack was detected</w:t>
      </w:r>
      <w:r>
        <w:rPr>
          <w:rFonts w:ascii="Calibri" w:hAnsi="Calibri"/>
          <w:i w:val="1"/>
          <w:iCs w:val="1"/>
          <w:rtl w:val="0"/>
          <w:lang w:val="en-US" w:bidi="en-US" w:eastAsia="en-US"/>
        </w:rPr>
        <w:t xml:space="preserve"> </w:t>
      </w:r>
      <w:r>
        <w:rPr>
          <w:rFonts w:ascii="Calibri" w:hAnsi="Calibri"/>
          <w:i w:val="1"/>
          <w:iCs w:val="1"/>
        </w:rPr>
        <w:t xml:space="preserve"> contained and documented successfully.</w:t>
      </w:r>
      <w:bookmarkStart w:id="46" w:name="_dx_frag_EndFragment"/>
      <w:bookmarkEnd w:id="46"/>
    </w:p>
    <w:p>
      <w:pPr>
        <w:rPr>
          <w:rFonts w:ascii="Calibri" w:hAnsi="Calibri"/>
        </w:rPr>
      </w:pPr>
    </w:p>
    <w:p>
      <w:pPr>
        <w:rPr>
          <w:rFonts w:ascii="Arial Black" w:hAnsi="Arial Black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Arial Black" w:hAnsi="Arial Black"/>
          <w:b w:val="1"/>
          <w:bCs w:val="1"/>
          <w:sz w:val="24"/>
          <w:szCs w:val="24"/>
          <w:rtl w:val="0"/>
          <w:lang w:val="en-US" w:bidi="en-US" w:eastAsia="en-US"/>
        </w:rPr>
        <w:t>Timeline</w:t>
      </w:r>
      <w:r>
        <w:rPr>
          <w:rFonts w:ascii="Arial Black" w:hAnsi="Arial Black"/>
          <w:b w:val="1"/>
          <w:bCs w:val="1"/>
          <w:sz w:val="24"/>
          <w:szCs w:val="24"/>
          <w:rtl w:val="0"/>
          <w:lang w:val="en-US" w:bidi="en-US" w:eastAsia="en-US"/>
        </w:rPr>
        <w:t>:</w:t>
      </w:r>
    </w:p>
    <w:p>
      <w:pPr>
        <w:rPr>
          <w:rFonts w:ascii="Arial Black" w:hAnsi="Arial Black"/>
          <w:b w:val="1"/>
          <w:bCs w:val="1"/>
          <w:sz w:val="24"/>
          <w:szCs w:val="24"/>
          <w:rtl w:val="0"/>
          <w:lang w:val="en-US" w:bidi="en-US" w:eastAsia="en-US"/>
        </w:rPr>
      </w:pPr>
    </w:p>
    <w:tbl>
      <w:tblPr>
        <w:tblStyle w:val="T1"/>
        <w:tblW w:w="0" w:type="auto"/>
        <w:tblLook w:val="04A0"/>
      </w:tblPr>
      <w:tblGrid>
        <w:gridCol w:w="4509"/>
        <w:gridCol w:w="4510"/>
      </w:tblGrid>
      <w:tr>
        <w:tc>
          <w:tcPr>
            <w:tcW w:w="4514" w:type="dxa"/>
          </w:tcPr>
          <w:p>
            <w:pPr>
              <w:rPr>
                <w:rFonts w:ascii="Arial Black" w:hAnsi="Arial Black"/>
                <w:b w:val="1"/>
                <w:bCs w:val="1"/>
                <w:sz w:val="20"/>
                <w:szCs w:val="20"/>
              </w:rPr>
            </w:pPr>
            <w:r>
              <w:rPr>
                <w:rFonts w:ascii="Arial Black" w:hAnsi="Arial Black"/>
                <w:b w:val="1"/>
                <w:bCs w:val="1"/>
                <w:sz w:val="20"/>
                <w:szCs w:val="20"/>
                <w:rtl w:val="0"/>
                <w:lang w:val="en-US" w:bidi="en-US" w:eastAsia="en-US"/>
              </w:rPr>
              <w:t xml:space="preserve">                   Time</w:t>
            </w:r>
          </w:p>
        </w:tc>
        <w:tc>
          <w:tcPr>
            <w:tcW w:w="4514" w:type="dxa"/>
          </w:tcPr>
          <w:p>
            <w:pPr>
              <w:rPr>
                <w:rFonts w:ascii="Arial Black" w:hAnsi="Arial Black"/>
                <w:b w:val="1"/>
                <w:bCs w:val="1"/>
                <w:sz w:val="24"/>
                <w:szCs w:val="24"/>
              </w:rPr>
            </w:pPr>
            <w:r>
              <w:rPr>
                <w:rFonts w:ascii="Arial Black" w:hAnsi="Arial Black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 xml:space="preserve">                 Action</w:t>
            </w:r>
          </w:p>
        </w:tc>
      </w:tr>
      <w:tr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Arial Black" w:hAnsi="Arial Black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 xml:space="preserve">               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14:00</w:t>
            </w:r>
          </w:p>
        </w:tc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samba exploit dected from 1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92.168.1.101</w:t>
            </w:r>
          </w:p>
        </w:tc>
      </w:tr>
      <w:tr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Arial Black" w:hAnsi="Arial Black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 xml:space="preserve">               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14: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10</w:t>
            </w:r>
          </w:p>
        </w:tc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 xml:space="preserve">Alert  triaged and conf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irmed</w:t>
            </w:r>
          </w:p>
        </w:tc>
      </w:tr>
      <w:tr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Arial Black" w:hAnsi="Arial Black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 xml:space="preserve">               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14:20</w:t>
            </w:r>
          </w:p>
        </w:tc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machine isolated</w:t>
            </w:r>
          </w:p>
        </w:tc>
      </w:tr>
      <w:tr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Arial Black" w:hAnsi="Arial Black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 xml:space="preserve">               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14:30</w:t>
            </w:r>
          </w:p>
        </w:tc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IPblocked using crowdsec</w:t>
            </w:r>
          </w:p>
        </w:tc>
      </w:tr>
      <w:tr>
        <w:trPr>
          <w:trHeight w:hRule="atLeast" w:val="285"/>
        </w:trPr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Arial Black" w:hAnsi="Arial Black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 xml:space="preserve">               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14:40</w:t>
            </w:r>
          </w:p>
        </w:tc>
        <w:tc>
          <w:tcPr>
            <w:tcW w:w="4514" w:type="dxa"/>
          </w:tcPr>
          <w:p>
            <w:p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bCs w:val="0"/>
                <w:sz w:val="20"/>
                <w:szCs w:val="20"/>
                <w:rtl w:val="0"/>
                <w:lang w:val="en-US" w:bidi="en-US" w:eastAsia="en-US"/>
              </w:rPr>
              <w:t>ping test verified containment</w:t>
            </w:r>
          </w:p>
        </w:tc>
      </w:tr>
    </w:tbl>
    <w:p>
      <w:pPr>
        <w:rPr>
          <w:rFonts w:ascii="Arial Black" w:hAnsi="Arial Black"/>
          <w:b w:val="1"/>
          <w:bCs w:val="1"/>
          <w:sz w:val="24"/>
          <w:szCs w:val="24"/>
        </w:rPr>
      </w:pPr>
    </w:p>
    <w:p>
      <w:pPr>
        <w:spacing w:before="240" w:after="240"/>
        <w:ind w:firstLine="0" w:left="0" w:right="0"/>
        <w:rPr>
          <w:rFonts w:ascii="Arial Black" w:hAnsi="Arial Black"/>
        </w:rPr>
      </w:pPr>
      <w:bookmarkStart w:id="47" w:name="_dx_frag_StartFragment"/>
      <w:bookmarkEnd w:id="47"/>
      <w:r>
        <w:rPr>
          <w:rFonts w:ascii="Arial Black" w:hAnsi="Arial Black"/>
          <w:b w:val="1"/>
          <w:bCs w:val="1"/>
        </w:rPr>
        <w:t>Recommendations: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Monitor Samba services regularly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Block unused ports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Update software regularly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Use threat intelligence feeds</w:t>
      </w:r>
      <w:bookmarkStart w:id="48" w:name="_dx_frag_EndFragment"/>
      <w:bookmarkEnd w:id="48"/>
    </w:p>
    <w:p>
      <w:pPr>
        <w:spacing w:before="0" w:after="0"/>
        <w:ind w:hanging="0" w:left="720" w:right="0"/>
        <w:rPr>
          <w:rFonts w:ascii="Calibri" w:hAnsi="Calibri"/>
        </w:rPr>
      </w:pPr>
    </w:p>
    <w:p>
      <w:pPr>
        <w:rPr>
          <w:rFonts w:ascii="Calibri" w:hAnsi="Calibri"/>
          <w:b w:val="1"/>
          <w:bCs w:val="1"/>
          <w:sz w:val="24"/>
          <w:szCs w:val="24"/>
        </w:rPr>
      </w:pPr>
      <w:bookmarkStart w:id="49" w:name="_dx_frag_StartFragment"/>
      <w:bookmarkEnd w:id="49"/>
      <w:r>
        <w:rPr>
          <w:b w:val="1"/>
          <w:bCs w:val="1"/>
        </w:rPr>
        <w:t>Lessons Learned:</w:t>
      </w:r>
      <w:r>
        <w:t xml:space="preserve"> </w:t>
      </w:r>
      <w:r>
        <w:rPr>
          <w:rFonts w:ascii="Calibri" w:hAnsi="Calibri"/>
          <w:i w:val="1"/>
          <w:iCs w:val="1"/>
        </w:rPr>
        <w:t>This simulation helped me understand complete SOC workflow from attack detection to containment and reporting. I learned how important quick response and proper documentation is in real security incidents.</w:t>
      </w:r>
      <w:bookmarkStart w:id="50" w:name="_dx_frag_EndFragment"/>
      <w:bookmarkEnd w:id="50"/>
    </w:p>
    <w:p>
      <w:pPr>
        <w:rPr>
          <w:rFonts w:ascii="Calibri" w:hAnsi="Calibri"/>
        </w:rPr>
      </w:pPr>
    </w:p>
    <w:p>
      <w:pPr>
        <w:spacing w:before="240" w:after="240" w:beforeAutospacing="0" w:afterAutospacing="0"/>
        <w:ind w:firstLine="0" w:left="0" w:right="0"/>
        <w:outlineLvl w:val="0"/>
        <w:rPr>
          <w:b w:val="1"/>
          <w:sz w:val="28"/>
          <w:szCs w:val="28"/>
        </w:rPr>
      </w:pPr>
      <w:bookmarkStart w:id="51" w:name="_dx_frag_StartFragment"/>
      <w:bookmarkEnd w:id="51"/>
      <w:r>
        <w:rPr>
          <w:b w:val="1"/>
          <w:sz w:val="28"/>
          <w:szCs w:val="28"/>
        </w:rPr>
        <w:t>7. KEY LEARNINGS</w:t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Learned log correlation techniques </w:t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Practiced IOC validation and enrichment </w:t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Understood escalation workflows </w:t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Learned evidence preservation methods </w:t>
      </w:r>
      <w:bookmarkStart w:id="52" w:name="_dx_frag_EndFragment"/>
      <w:bookmarkEnd w:id="52"/>
    </w:p>
    <w:p>
      <w:pPr>
        <w:spacing w:before="0" w:after="0" w:beforeAutospacing="0" w:afterAutospacing="0"/>
        <w:ind w:hanging="360" w:left="720" w:right="0"/>
        <w:rPr>
          <w:rFonts w:ascii="Calibri" w:hAnsi="Calibri"/>
        </w:rPr>
      </w:pPr>
    </w:p>
    <w:p>
      <w:pPr>
        <w:spacing w:before="0" w:after="0" w:beforeAutospacing="0" w:afterAutospacing="0"/>
        <w:ind w:hanging="360" w:left="720" w:right="0"/>
        <w:rPr>
          <w:rFonts w:ascii="Calibri" w:hAnsi="Calibri"/>
        </w:rPr>
      </w:pPr>
    </w:p>
    <w:p>
      <w:pPr>
        <w:spacing w:before="0" w:after="0" w:beforeAutospacing="0" w:afterAutospacing="0"/>
        <w:ind w:hanging="360" w:left="720" w:right="0"/>
        <w:rPr>
          <w:rFonts w:ascii="Calibri" w:hAnsi="Calibri"/>
        </w:rPr>
      </w:pPr>
    </w:p>
    <w:p>
      <w:pPr>
        <w:spacing w:before="0" w:after="0" w:beforeAutospacing="0" w:afterAutospacing="0"/>
        <w:ind w:hanging="360" w:left="720" w:right="0"/>
        <w:rPr>
          <w:rFonts w:ascii="Calibri" w:hAnsi="Calibri"/>
        </w:rPr>
      </w:pPr>
    </w:p>
    <w:p>
      <w:pPr>
        <w:spacing w:before="0" w:after="0" w:beforeAutospacing="0" w:afterAutospacing="0"/>
        <w:ind w:hanging="0" w:left="0" w:right="0"/>
      </w:pPr>
      <w:r>
        <w:rPr>
          <w:rFonts w:ascii="Calibri" w:hAnsi="Calibri"/>
          <w:rtl w:val="0"/>
          <w:lang w:val="en-US" w:bidi="en-US" w:eastAsia="en-US"/>
        </w:rPr>
        <w:t xml:space="preserve"> </w:t>
      </w:r>
      <w:r>
        <w:rPr>
          <w:rFonts w:ascii="Calibri" w:hAnsi="Calibri"/>
          <w:rtl w:val="0"/>
          <w:lang w:val="en-US" w:bidi="en-US" w:eastAsia="en-US"/>
        </w:rPr>
        <w:t xml:space="preserve"> </w:t>
      </w:r>
      <w:r>
        <w:rPr>
          <w:rFonts w:ascii="Calibri" w:hAnsi="Calibri"/>
          <w:rtl w:val="0"/>
          <w:lang w:val="en-US" w:bidi="en-US" w:eastAsia="en-US"/>
        </w:rPr>
        <w:t xml:space="preserve">                 </w:t>
      </w:r>
      <w:r>
        <w:rPr>
          <w:rFonts w:ascii="Calibri" w:hAnsi="Calibri"/>
          <w:rtl w:val="0"/>
          <w:lang w:val="en-US" w:bidi="en-US" w:eastAsia="en-US"/>
        </w:rPr>
        <w:t xml:space="preserve">                                                                                                                                                     </w:t>
      </w:r>
      <w:r>
        <w:rPr>
          <w:rFonts w:ascii="Calibri" w:hAnsi="Calibri"/>
          <w:rtl w:val="0"/>
          <w:lang w:val="en-US" w:bidi="en-US" w:eastAsia="en-US"/>
        </w:rPr>
        <w:t xml:space="preserve">     </w:t>
      </w:r>
    </w:p>
    <w:p/>
    <w:p>
      <w:pPr>
        <w:rPr>
          <w:rFonts w:ascii="Arial Black" w:hAnsi="Arial Black"/>
          <w:sz w:val="28"/>
          <w:szCs w:val="28"/>
        </w:rPr>
      </w:pPr>
      <w:r>
        <w:rPr>
          <w:sz w:val="28"/>
          <w:szCs w:val="28"/>
          <w:rtl w:val="0"/>
          <w:lang w:val="en-US" w:bidi="en-US" w:eastAsia="en-US"/>
        </w:rPr>
        <w:t xml:space="preserve">                                                                            </w:t>
      </w:r>
      <w:r>
        <w:rPr>
          <w:rFonts w:ascii="Arial Black" w:hAnsi="Arial Black"/>
          <w:sz w:val="28"/>
          <w:szCs w:val="28"/>
          <w:rtl w:val="0"/>
          <w:lang w:val="en-US" w:bidi="en-US" w:eastAsia="en-US"/>
        </w:rPr>
        <w:t>THANKYOU ...</w:t>
      </w:r>
    </w:p>
    <w:p>
      <w:pPr>
        <w:rPr>
          <w:rFonts w:ascii="Arial Black" w:hAnsi="Arial Black"/>
          <w:sz w:val="36"/>
          <w:szCs w:val="36"/>
        </w:rPr>
      </w:pPr>
      <w:r>
        <w:rPr>
          <w:rtl w:val="0"/>
          <w:lang w:val="en-US" w:bidi="en-US" w:eastAsia="en-US"/>
        </w:rPr>
        <w:t xml:space="preserve">                                                                                                    </w:t>
      </w:r>
    </w:p>
    <w:p/>
    <w:p/>
    <w:p/>
    <w:p/>
    <w:p/>
    <w:p/>
    <w:p/>
    <w:p/>
    <w:p/>
    <w:p/>
    <w:p/>
    <w:p/>
    <w:p/>
    <w:p/>
    <w:p/>
    <w:p/>
    <w:p/>
    <w:p/>
    <w:sectPr>
      <w:headerReference w:type="default" r:id="RelHdr1"/>
      <w:footerReference w:type="default" r:id="RelFtr1"/>
      <w:footnotePr/>
      <w:endnotePr/>
      <w:type w:val="nextPage"/>
      <w:pgSz w:w="11909" w:h="16834" w:code="0"/>
      <w:pgMar w:left="1440" w:right="1440" w:top="1440" w:bottom="1440" w:header="576" w:footer="432" w:gutter="0"/>
      <w:pgNumType w:start="1" w:chapSep="period"/>
      <w:cols w:equalWidth="1"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  <w:r>
        <w:separator/>
      </w:r>
    </w:p>
  </w:endnote>
  <w:endnote w:type="continuationSeparator" w:id="0">
    <w:p>
      <w:pPr>
        <w:spacing w:lineRule="auto" w:line="24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pict>
        <v:rect xmlns:o="urn:schemas-microsoft-com:office:office" id="2" style="width:0pt;height:1.5pt" o:hrpct="1000" o:hralign="center" o:hr="t" fillcolor="#A0A0A0" stroked="f"/>
      </w:pict>
    </w:r>
  </w:p>
  <w:p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 w:val="1"/>
      </w:rPr>
      <w:t>#</w:t>
    </w:r>
    <w:r>
      <w:rPr>
        <w:noProof w:val="1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beforeAutospacing="0" w:afterAutospacing="0"/>
      </w:pPr>
      <w:r>
        <w:separator/>
      </w:r>
    </w:p>
  </w:footnote>
  <w:footnote w:type="continuationSeparator" w:id="0">
    <w:p>
      <w:pPr>
        <w:spacing w:lineRule="auto" w:line="24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r>
      <w:rPr>
        <w:noProof w:val="1"/>
      </w:rPr>
      <w:drawing>
        <wp:anchor xmlns:wp="http://schemas.openxmlformats.org/drawingml/2006/wordprocessingDrawing" distT="114300" distB="114300" distL="114300" distR="114300" simplePos="0" relativeHeight="1" behindDoc="0" locked="0" layoutInCell="1" allowOverlap="1">
          <wp:simplePos x="0" y="0"/>
          <wp:positionH relativeFrom="column">
            <wp:posOffset>-1443990</wp:posOffset>
          </wp:positionH>
          <wp:positionV relativeFrom="paragraph">
            <wp:posOffset>-342265</wp:posOffset>
          </wp:positionV>
          <wp:extent cx="8617585" cy="1023620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dpi="0">
                  <a:blip xmlns:r="http://schemas.openxmlformats.org/officeDocument/2006/relationships" r:embed="Relimage7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2" cy="1023938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nsid w:val="6D8C09D4"/>
    <w:multiLevelType w:val="hybridMultilevel"/>
    <w:lvl w:ilvl="0" w:tplc="68014DA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1091AB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DB456D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4D43D6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0C988C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E6A428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73687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4F4566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3B7036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3D09BE12"/>
    <w:multiLevelType w:val="hybridMultilevel"/>
    <w:lvl w:ilvl="0" w:tplc="5A895FA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00CF73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232778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94A402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B98D33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96B56B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92BB71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6D0641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600DA4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279A7FD"/>
    <w:multiLevelType w:val="hybridMultilevel"/>
    <w:lvl w:ilvl="0" w:tplc="06F4BA7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053FA6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67C392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C10B1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F87715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F973D5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F6F2EB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BE0B17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5FE293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GB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120" w:beforeAutospacing="0" w:afterAutospacing="0"/>
      <w:outlineLvl w:val="1"/>
    </w:pPr>
    <w:rPr>
      <w:sz w:val="32"/>
      <w:szCs w:val="32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320" w:after="80" w:beforeAutospacing="0" w:afterAutospacing="0"/>
      <w:outlineLvl w:val="2"/>
    </w:pPr>
    <w:rPr>
      <w:color w:val="434343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40" w:after="80" w:beforeAutospacing="0" w:afterAutospacing="0"/>
      <w:outlineLvl w:val="4"/>
    </w:pPr>
    <w:rPr>
      <w:color w:val="666666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40" w:after="80" w:beforeAutospacing="0" w:afterAutospacing="0"/>
      <w:outlineLvl w:val="5"/>
    </w:pPr>
    <w:rPr>
      <w:i w:val="1"/>
      <w:color w:val="666666"/>
    </w:rPr>
  </w:style>
  <w:style w:type="paragraph" w:styleId="P7">
    <w:name w:val="Title"/>
    <w:basedOn w:val="P0"/>
    <w:next w:val="P0"/>
    <w:qFormat/>
    <w:pPr>
      <w:keepNext w:val="1"/>
      <w:keepLines w:val="1"/>
      <w:spacing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qFormat/>
    <w:pPr>
      <w:keepNext w:val="1"/>
      <w:keepLines w:val="1"/>
      <w:spacing w:after="320" w:beforeAutospacing="0" w:afterAutospacing="0"/>
    </w:pPr>
    <w:rPr>
      <w:color w:val="666666"/>
      <w:sz w:val="30"/>
      <w:szCs w:val="30"/>
    </w:rPr>
  </w:style>
  <w:style w:type="paragraph" w:styleId="P9">
    <w:name w:val="Header"/>
    <w:basedOn w:val="P0"/>
    <w:link w:val="C3"/>
    <w:pPr>
      <w:tabs>
        <w:tab w:val="center" w:pos="4513" w:leader="none"/>
        <w:tab w:val="right" w:pos="9026" w:leader="none"/>
      </w:tabs>
      <w:spacing w:lineRule="auto" w:line="240" w:beforeAutospacing="0" w:afterAutospacing="0"/>
    </w:pPr>
    <w:rPr/>
  </w:style>
  <w:style w:type="paragraph" w:styleId="P10">
    <w:name w:val="Footer"/>
    <w:basedOn w:val="P0"/>
    <w:link w:val="C4"/>
    <w:pPr>
      <w:tabs>
        <w:tab w:val="center" w:pos="4513" w:leader="none"/>
        <w:tab w:val="right" w:pos="9026" w:leader="none"/>
      </w:tabs>
      <w:spacing w:lineRule="auto" w:line="240" w:beforeAutospacing="0" w:afterAutospacing="0"/>
    </w:pPr>
    <w:rPr/>
  </w:style>
  <w:style w:type="paragraph" w:styleId="P11">
    <w:name w:val="Foot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2">
    <w:name w:val="End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9"/>
    <w:rPr/>
  </w:style>
  <w:style w:type="character" w:styleId="C4">
    <w:name w:val="Footer Char"/>
    <w:basedOn w:val="C0"/>
    <w:link w:val="P10"/>
    <w:rPr/>
  </w:style>
  <w:style w:type="character" w:styleId="C5">
    <w:name w:val="Footnote Reference"/>
    <w:semiHidden/>
    <w:rPr>
      <w:vertAlign w:val="superscript"/>
    </w:rPr>
  </w:style>
  <w:style w:type="character" w:styleId="C6">
    <w:name w:val="Footnote Text Char"/>
    <w:link w:val="P11"/>
    <w:semiHidden/>
    <w:rPr>
      <w:sz w:val="20"/>
      <w:szCs w:val="20"/>
    </w:rPr>
  </w:style>
  <w:style w:type="character" w:styleId="C7">
    <w:name w:val="Endnote Reference"/>
    <w:semiHidden/>
    <w:rPr>
      <w:vertAlign w:val="superscript"/>
    </w:rPr>
  </w:style>
  <w:style w:type="character" w:styleId="C8">
    <w:name w:val="Endnote Text Char"/>
    <w:link w:val="P12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jp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1.xml.rels>&#65279;<?xml version="1.0" encoding="utf-8"?><Relationships xmlns="http://schemas.openxmlformats.org/package/2006/relationships"><Relationship Id="Relimage7" Type="http://schemas.openxmlformats.org/officeDocument/2006/relationships/image" Target="/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2026-06-05T07:02:50Z</dcterms:created>
  <dcterms:modified xsi:type="dcterms:W3CDTF">2026-06-10T09:58:25Z</dcterms:modified>
  <cp:revision>2</cp:revision>
</cp:coreProperties>
</file>