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/>
    <w:p/>
    <w:p/>
    <w:p/>
    <w:p/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W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eek 2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S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oc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o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peration repo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rt</w:t>
      </w: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                                                   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sub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mited by:</w:t>
      </w: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                                                 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B.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R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ahul</w:t>
      </w: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                                                 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 xml:space="preserve">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Date: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29/05/26</w:t>
      </w:r>
    </w:p>
    <w:p>
      <w:pPr>
        <w:rPr>
          <w:rFonts w:ascii="Arial Black" w:hAnsi="Arial Black"/>
          <w:sz w:val="36"/>
          <w:szCs w:val="36"/>
          <w:rtl w:val="0"/>
          <w:lang w:val="en-US" w:bidi="en-US" w:eastAsia="en-US"/>
        </w:rPr>
      </w:pPr>
    </w:p>
    <w:p>
      <w:pPr>
        <w:rPr>
          <w:rFonts w:ascii="Arial Black" w:hAnsi="Arial Black"/>
          <w:sz w:val="36"/>
          <w:szCs w:val="36"/>
        </w:rPr>
      </w:pPr>
    </w:p>
    <w:p/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0" w:name="_dx_frag_StartFragment"/>
      <w:bookmarkEnd w:id="0"/>
      <w:r>
        <w:rPr>
          <w:b w:val="1"/>
          <w:sz w:val="48"/>
          <w:szCs w:val="48"/>
        </w:rPr>
        <w:t>1.</w:t>
      </w:r>
      <w:r>
        <w:rPr>
          <w:b w:val="1"/>
          <w:sz w:val="36"/>
          <w:szCs w:val="36"/>
        </w:rPr>
        <w:t xml:space="preserve"> Alert Priority Levels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Objective</w:t>
      </w:r>
    </w:p>
    <w:p>
      <w:pPr>
        <w:spacing w:before="240" w:after="240"/>
        <w:ind w:firstLine="0" w:left="0" w:right="0"/>
      </w:pPr>
      <w:r>
        <w:rPr>
          <w:rFonts w:ascii="Calibri" w:hAnsi="Calibri"/>
        </w:rPr>
        <w:t>To understand alert severity levels and prioritization.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Theory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</w:rPr>
        <w:t>SOC teams classify alerts as Critical, High, Medium, and Low based on business impact and urgency.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Practical Performed</w:t>
      </w:r>
    </w:p>
    <w:p>
      <w:pPr>
        <w:numPr>
          <w:ilvl w:val="0"/>
          <w:numId w:val="1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Studied CVSS scoring </w:t>
      </w:r>
    </w:p>
    <w:p>
      <w:pPr>
        <w:numPr>
          <w:ilvl w:val="0"/>
          <w:numId w:val="1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Checked Log4Shell severity score </w:t>
      </w:r>
    </w:p>
    <w:p>
      <w:pPr>
        <w:numPr>
          <w:ilvl w:val="0"/>
          <w:numId w:val="1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>Understood priority assignment</w:t>
      </w:r>
      <w:bookmarkStart w:id="1" w:name="_dx_frag_EndFragment"/>
      <w:bookmarkEnd w:id="1"/>
    </w:p>
    <w:p>
      <w:pPr>
        <w:spacing w:before="0" w:after="0"/>
        <w:ind w:hanging="360" w:left="720" w:right="0"/>
        <w:rPr>
          <w:rFonts w:ascii="Calibri" w:hAnsi="Calibri"/>
        </w:rPr>
      </w:pPr>
      <w:r>
        <w:drawing>
          <wp:inline xmlns:wp="http://schemas.openxmlformats.org/drawingml/2006/wordprocessingDrawing" distT="0" distB="0" distL="0" distR="0">
            <wp:extent cx="5733415" cy="2658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2" w:name="_dx_frag_StartFragment"/>
      <w:bookmarkEnd w:id="2"/>
      <w:r>
        <w:rPr>
          <w:b w:val="1"/>
          <w:sz w:val="48"/>
          <w:szCs w:val="48"/>
        </w:rPr>
        <w:t>2. Incident Classification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Objective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</w:rPr>
        <w:t>To classify incidents using MITRE ATT&amp;CK.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Practical Performed</w:t>
      </w:r>
    </w:p>
    <w:p>
      <w:pPr>
        <w:numPr>
          <w:ilvl w:val="0"/>
          <w:numId w:val="2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Opened MITRE ATT&amp;CK </w:t>
      </w:r>
    </w:p>
    <w:p>
      <w:pPr>
        <w:numPr>
          <w:ilvl w:val="0"/>
          <w:numId w:val="2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Searched T1566 </w:t>
      </w:r>
    </w:p>
    <w:p>
      <w:pPr>
        <w:numPr>
          <w:ilvl w:val="0"/>
          <w:numId w:val="2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>Studied phishing technique mapping</w:t>
      </w:r>
      <w:bookmarkStart w:id="3" w:name="_dx_frag_EndFragment"/>
      <w:bookmarkEnd w:id="3"/>
    </w:p>
    <w:p>
      <w:pPr>
        <w:spacing w:before="0" w:after="0"/>
        <w:ind w:hanging="0" w:left="0" w:right="0"/>
        <w:rPr>
          <w:rFonts w:ascii="Calibri" w:hAnsi="Calibri"/>
        </w:rPr>
      </w:pPr>
    </w:p>
    <w:p>
      <w:pPr>
        <w:rPr>
          <w:rFonts w:ascii="Calibri" w:hAnsi="Calibri"/>
        </w:rPr>
      </w:pPr>
      <w:r>
        <w:drawing>
          <wp:inline xmlns:wp="http://schemas.openxmlformats.org/drawingml/2006/wordprocessingDrawing" distT="0" distB="0" distL="0" distR="0">
            <wp:extent cx="5733415" cy="2470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0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4" w:name="_dx_frag_StartFragment"/>
      <w:bookmarkEnd w:id="4"/>
      <w:r>
        <w:rPr>
          <w:b w:val="1"/>
          <w:sz w:val="48"/>
          <w:szCs w:val="48"/>
        </w:rPr>
        <w:t>3. Incident Response Lifecycle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Objective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</w:rPr>
        <w:t>To understand incident handling phases.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Steps Studied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Preparation 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Identification 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Containment 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Eradication 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Recovery </w:t>
      </w:r>
    </w:p>
    <w:p>
      <w:pPr>
        <w:numPr>
          <w:ilvl w:val="0"/>
          <w:numId w:val="3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>Lessons Learned</w:t>
      </w:r>
      <w:bookmarkStart w:id="5" w:name="_dx_frag_EndFragment"/>
      <w:bookmarkEnd w:id="5"/>
    </w:p>
    <w:p>
      <w:pPr>
        <w:spacing w:before="0" w:after="0"/>
        <w:ind w:hanging="0" w:left="0" w:right="0"/>
        <w:rPr>
          <w:rFonts w:ascii="Calibri" w:hAnsi="Calibri"/>
          <w:b w:val="1"/>
          <w:bCs w:val="1"/>
        </w:rPr>
      </w:pPr>
      <w:r>
        <w:rPr>
          <w:rFonts w:ascii="Calibri" w:hAnsi="Calibri"/>
          <w:rtl w:val="0"/>
          <w:lang w:val="en-US" w:bidi="en-US" w:eastAsia="en-US"/>
        </w:rPr>
        <w:t xml:space="preserve">   </w:t>
      </w:r>
      <w:r>
        <w:rPr>
          <w:rFonts w:ascii="Calibri" w:hAnsi="Calibri"/>
          <w:rtl w:val="0"/>
          <w:lang w:val="en-US" w:bidi="en-US" w:eastAsia="en-US"/>
        </w:rPr>
        <w:t>.</w:t>
      </w:r>
      <w:r>
        <w:rPr>
          <w:rFonts w:ascii="Calibri" w:hAnsi="Calibri"/>
          <w:rtl w:val="0"/>
          <w:lang w:val="en-US" w:bidi="en-US" w:eastAsia="en-US"/>
        </w:rPr>
        <w:t xml:space="preserve"> </w:t>
      </w:r>
      <w:r>
        <w:rPr>
          <w:rFonts w:ascii="Calibri" w:hAnsi="Calibri"/>
          <w:b w:val="1"/>
          <w:bCs w:val="1"/>
          <w:rtl w:val="0"/>
          <w:lang w:val="en-US" w:bidi="en-US" w:eastAsia="en-US"/>
        </w:rPr>
        <w:t>T</w:t>
      </w:r>
      <w:r>
        <w:rPr>
          <w:rFonts w:ascii="Calibri" w:hAnsi="Calibri"/>
          <w:b w:val="1"/>
          <w:bCs w:val="1"/>
          <w:rtl w:val="0"/>
          <w:lang w:val="en-US" w:bidi="en-US" w:eastAsia="en-US"/>
        </w:rPr>
        <w:t>reminal showing cat incident .txt</w:t>
      </w:r>
    </w:p>
    <w:p>
      <w:pPr>
        <w:rPr>
          <w:rFonts w:ascii="Calibri" w:hAnsi="Calibri"/>
        </w:rPr>
      </w:pPr>
    </w:p>
    <w:p/>
    <w:p>
      <w:r>
        <w:drawing>
          <wp:inline xmlns:wp="http://schemas.openxmlformats.org/drawingml/2006/wordprocessingDrawing" distT="0" distB="0" distL="0" distR="0">
            <wp:extent cx="5733415" cy="4299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6" w:name="_dx_frag_StartFragment"/>
      <w:bookmarkEnd w:id="6"/>
      <w:r>
        <w:rPr>
          <w:b w:val="1"/>
          <w:sz w:val="48"/>
          <w:szCs w:val="48"/>
        </w:rPr>
        <w:t>4. Alert Management Practice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Objective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</w:rPr>
        <w:t>To prioritize and categorize alerts.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Alert Table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7"/>
        <w:gridCol w:w="914"/>
        <w:gridCol w:w="830"/>
        <w:gridCol w:w="1440"/>
      </w:tblGrid>
      <w:tr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Alert ID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MITRE Tactic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T1566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Log4Shell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T1190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Port Scan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T1046</w:t>
            </w:r>
          </w:p>
        </w:tc>
      </w:tr>
    </w:tbl>
    <w:p>
      <w:pPr>
        <w:rPr>
          <w:rFonts w:ascii="Calibri" w:hAnsi="Calibri"/>
        </w:rPr>
      </w:pPr>
      <w:bookmarkStart w:id="7" w:name="_dx_frag_EndFragment"/>
      <w:bookmarkEnd w:id="7"/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8" w:name="_dx_frag_StartFragment"/>
      <w:bookmarkEnd w:id="8"/>
      <w:r>
        <w:rPr>
          <w:b w:val="1"/>
          <w:sz w:val="48"/>
          <w:szCs w:val="48"/>
        </w:rPr>
        <w:t>5. Incident Ticket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Ticket Created</w:t>
      </w:r>
    </w:p>
    <w:p>
      <w:pPr>
        <w:spacing w:before="240" w:after="240"/>
        <w:ind w:firstLine="0" w:left="0" w:right="0"/>
        <w:rPr>
          <w:rFonts w:ascii="Calibri" w:hAnsi="Calibri"/>
        </w:rPr>
      </w:pPr>
      <w:bookmarkStart w:id="9" w:name="_dx_frag_StartFragment"/>
      <w:bookmarkEnd w:id="9"/>
      <w:r>
        <w:rPr>
          <w:rFonts w:ascii="Calibri" w:hAnsi="Calibri"/>
          <w:b w:val="1"/>
          <w:bCs w:val="1"/>
        </w:rPr>
        <w:t>Title:</w:t>
      </w:r>
      <w:r>
        <w:rPr>
          <w:rFonts w:ascii="Calibri" w:hAnsi="Calibri"/>
        </w:rPr>
        <w:t xml:space="preserve"> [High] Suspicious Phishing Email Detected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  <w:b w:val="1"/>
          <w:bCs w:val="1"/>
        </w:rPr>
        <w:t>Description:</w:t>
      </w:r>
      <w:r>
        <w:rPr>
          <w:rFonts w:ascii="Calibri" w:hAnsi="Calibri"/>
        </w:rPr>
        <w:t xml:space="preserve"> User reported suspicious email with malicious link.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  <w:b w:val="1"/>
          <w:bCs w:val="1"/>
        </w:rPr>
        <w:t>Indicators:</w:t>
      </w:r>
    </w:p>
    <w:p>
      <w:pPr>
        <w:numPr>
          <w:ilvl w:val="0"/>
          <w:numId w:val="5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Suspicious URL </w:t>
      </w:r>
    </w:p>
    <w:p>
      <w:pPr>
        <w:numPr>
          <w:ilvl w:val="0"/>
          <w:numId w:val="5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Sender: fake-support@example.com 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  <w:b w:val="1"/>
          <w:bCs w:val="1"/>
        </w:rPr>
        <w:t>Priority:</w:t>
      </w:r>
      <w:r>
        <w:rPr>
          <w:rFonts w:ascii="Calibri" w:hAnsi="Calibri"/>
        </w:rPr>
        <w:t xml:space="preserve"> High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  <w:b w:val="1"/>
          <w:bCs w:val="1"/>
        </w:rPr>
        <w:t>Assignee:</w:t>
      </w:r>
      <w:r>
        <w:rPr>
          <w:rFonts w:ascii="Calibri" w:hAnsi="Calibri"/>
        </w:rPr>
        <w:t xml:space="preserve"> Tier 1 Analyst</w:t>
      </w:r>
    </w:p>
    <w:p>
      <w:pPr>
        <w:rPr>
          <w:rFonts w:ascii="Calibri" w:hAnsi="Calibri"/>
        </w:rPr>
      </w:pPr>
      <w:r>
        <w:rPr>
          <w:rFonts w:ascii="Calibri" w:hAnsi="Calibri"/>
          <w:b w:val="1"/>
          <w:bCs w:val="1"/>
        </w:rPr>
        <w:t>Status:</w:t>
      </w:r>
      <w:r>
        <w:rPr>
          <w:rFonts w:ascii="Calibri" w:hAnsi="Calibri"/>
        </w:rPr>
        <w:t xml:space="preserve"> Investigating</w:t>
      </w:r>
      <w:bookmarkStart w:id="10" w:name="_dx_frag_EndFragment"/>
      <w:bookmarkEnd w:id="10"/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/>
    <w:p/>
    <w:p/>
    <w:p/>
    <w:p/>
    <w:p/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11" w:name="_dx_frag_StartFragment"/>
      <w:bookmarkEnd w:id="11"/>
      <w:r>
        <w:rPr>
          <w:b w:val="1"/>
          <w:sz w:val="48"/>
          <w:szCs w:val="48"/>
        </w:rPr>
        <w:t>6. Escalation Email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</w:rPr>
        <w:t>Email Draft: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</w:rPr>
        <w:t>Hello Tier 2 Team,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</w:rPr>
        <w:t>A critical ransomware alert has been detected on Server-X. Immediate investigation is required.</w:t>
      </w:r>
    </w:p>
    <w:p>
      <w:pPr>
        <w:rPr>
          <w:rFonts w:ascii="Calibri" w:hAnsi="Calibri"/>
        </w:rPr>
      </w:pPr>
      <w:r>
        <w:rPr>
          <w:rFonts w:ascii="Calibri" w:hAnsi="Calibri"/>
        </w:rPr>
        <w:t>Thank you.</w:t>
      </w:r>
      <w:bookmarkStart w:id="12" w:name="_dx_frag_EndFragment"/>
      <w:bookmarkEnd w:id="12"/>
    </w:p>
    <w:p>
      <w:pPr>
        <w:rPr>
          <w:rFonts w:ascii="Calibri" w:hAnsi="Calibri"/>
        </w:rPr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13" w:name="_dx_frag_StartFragment"/>
      <w:bookmarkEnd w:id="13"/>
      <w:r>
        <w:rPr>
          <w:b w:val="1"/>
          <w:sz w:val="48"/>
          <w:szCs w:val="48"/>
        </w:rPr>
        <w:t>7. Response Documentation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Investigation Timeline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2322"/>
      </w:tblGrid>
      <w:tr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Action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2026-05-26 14:00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Isolated Endpoint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2026-05-26 14:30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Collected Memory Dump</w:t>
            </w:r>
          </w:p>
        </w:tc>
      </w:tr>
    </w:tbl>
    <w:p>
      <w:pPr>
        <w:rPr>
          <w:rFonts w:ascii="Calibri" w:hAnsi="Calibri"/>
        </w:rPr>
      </w:pPr>
      <w:bookmarkStart w:id="14" w:name="_dx_frag_EndFragment"/>
      <w:bookmarkEnd w:id="14"/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bookmarkStart w:id="15" w:name="_dx_frag_StartFragment"/>
      <w:bookmarkEnd w:id="15"/>
      <w:r>
        <w:rPr>
          <w:b w:val="1"/>
          <w:sz w:val="36"/>
          <w:szCs w:val="36"/>
        </w:rPr>
        <w:t>Phishing Checklist</w:t>
      </w:r>
    </w:p>
    <w:p>
      <w:pPr>
        <w:numPr>
          <w:ilvl w:val="0"/>
          <w:numId w:val="6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Confirm email headers </w:t>
      </w:r>
    </w:p>
    <w:p>
      <w:pPr>
        <w:numPr>
          <w:ilvl w:val="0"/>
          <w:numId w:val="6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Check VirusTotal reputation </w:t>
      </w:r>
    </w:p>
    <w:p>
      <w:pPr>
        <w:numPr>
          <w:ilvl w:val="0"/>
          <w:numId w:val="6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>Identify affected users</w:t>
      </w:r>
      <w:bookmarkStart w:id="16" w:name="_dx_frag_EndFragment"/>
      <w:bookmarkEnd w:id="16"/>
    </w:p>
    <w:p>
      <w:pPr>
        <w:spacing w:before="0" w:after="0"/>
        <w:ind w:hanging="0" w:left="720" w:right="0"/>
        <w:rPr>
          <w:rFonts w:ascii="Calibri" w:hAnsi="Calibri"/>
        </w:rPr>
      </w:pPr>
      <w:r>
        <w:drawing>
          <wp:inline xmlns:wp="http://schemas.openxmlformats.org/drawingml/2006/wordprocessingDrawing" distT="0" distB="0" distL="0" distR="0">
            <wp:extent cx="5733415" cy="16808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8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/>
    <w:p/>
    <w:p/>
    <w:p/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17" w:name="_dx_frag_StartFragment"/>
      <w:bookmarkEnd w:id="17"/>
      <w:r>
        <w:rPr>
          <w:b w:val="1"/>
          <w:sz w:val="48"/>
          <w:szCs w:val="48"/>
        </w:rPr>
        <w:t>8. Alert Triage Practic</w:t>
      </w:r>
      <w:r>
        <w:rPr>
          <w:b w:val="1"/>
          <w:sz w:val="48"/>
          <w:szCs w:val="48"/>
          <w:rtl w:val="0"/>
          <w:lang w:val="en-US" w:bidi="en-US" w:eastAsia="en-US"/>
        </w:rPr>
        <w:t>e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5"/>
        <w:gridCol w:w="1466"/>
        <w:gridCol w:w="1348"/>
        <w:gridCol w:w="817"/>
        <w:gridCol w:w="642"/>
      </w:tblGrid>
      <w:tr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rFonts w:ascii="Calibri" w:hAnsi="Calibri"/>
                <w:b w:val="1"/>
              </w:rPr>
            </w:pPr>
            <w:r>
              <w:rPr>
                <w:rFonts w:ascii="Calibri" w:hAnsi="Calibri"/>
                <w:b w:val="1"/>
              </w:rPr>
              <w:t>Alert ID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rFonts w:ascii="Calibri" w:hAnsi="Calibri"/>
                <w:b w:val="1"/>
              </w:rPr>
            </w:pPr>
            <w:r>
              <w:rPr>
                <w:rFonts w:ascii="Calibri" w:hAnsi="Calibri"/>
                <w:b w:val="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rFonts w:ascii="Calibri" w:hAnsi="Calibri"/>
                <w:b w:val="1"/>
              </w:rPr>
            </w:pPr>
            <w:r>
              <w:rPr>
                <w:rFonts w:ascii="Calibri" w:hAnsi="Calibri"/>
                <w:b w:val="1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rFonts w:ascii="Calibri" w:hAnsi="Calibri"/>
                <w:b w:val="1"/>
              </w:rPr>
            </w:pPr>
            <w:r>
              <w:rPr>
                <w:rFonts w:ascii="Calibri" w:hAnsi="Calibri"/>
                <w:b w:val="1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rFonts w:ascii="Calibri" w:hAnsi="Calibri"/>
                <w:b w:val="1"/>
              </w:rPr>
            </w:pPr>
            <w:r>
              <w:rPr>
                <w:rFonts w:ascii="Calibri" w:hAnsi="Calibri"/>
                <w:b w:val="1"/>
              </w:rPr>
              <w:t>Status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Brute-force SSH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Open</w:t>
            </w:r>
          </w:p>
          <w:p>
            <w:pPr>
              <w:ind w:left="0" w:right="0"/>
              <w:rPr>
                <w:rFonts w:ascii="Calibri" w:hAnsi="Calibri"/>
              </w:rPr>
            </w:pPr>
          </w:p>
        </w:tc>
      </w:tr>
    </w:tbl>
    <w:p>
      <w:bookmarkStart w:id="18" w:name="_dx_frag_EndFragment"/>
      <w:bookmarkEnd w:id="18"/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19" w:name="_dx_frag_StartFragment"/>
      <w:bookmarkEnd w:id="19"/>
      <w:r>
        <w:rPr>
          <w:b w:val="1"/>
          <w:sz w:val="48"/>
          <w:szCs w:val="48"/>
        </w:rPr>
        <w:t>9. Threat Intelligence Validation</w:t>
      </w:r>
    </w:p>
    <w:p>
      <w:pPr>
        <w:spacing w:before="240" w:after="240"/>
        <w:ind w:firstLine="0" w:left="0" w:right="0"/>
        <w:rPr>
          <w:rFonts w:ascii="Calibri" w:hAnsi="Calibri"/>
        </w:rPr>
      </w:pPr>
      <w:r>
        <w:rPr>
          <w:rFonts w:ascii="Calibri" w:hAnsi="Calibri"/>
        </w:rPr>
        <w:t>Used AlienVault OTX to validate suspicious indicators.</w:t>
      </w:r>
    </w:p>
    <w:p>
      <w:pPr>
        <w:rPr>
          <w:rFonts w:ascii="Calibri" w:hAnsi="Calibri"/>
        </w:rPr>
      </w:pPr>
      <w:r>
        <w:rPr>
          <w:rFonts w:ascii="Calibri" w:hAnsi="Calibri"/>
        </w:rPr>
      </w:r>
      <w:r>
        <w:rPr>
          <w:rFonts w:ascii="Calibri" w:hAnsi="Calibri"/>
        </w:rPr>
        <w:t xml:space="preserve"> OTX result </w:t>
      </w:r>
      <w:bookmarkStart w:id="20" w:name="_dx_frag_EndFragment"/>
      <w:bookmarkEnd w:id="20"/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  <w:r>
        <w:drawing>
          <wp:inline xmlns:wp="http://schemas.openxmlformats.org/drawingml/2006/wordprocessingDrawing" distT="0" distB="0" distL="0" distR="0">
            <wp:extent cx="5733415" cy="2372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21" w:name="_dx_frag_StartFragment"/>
      <w:bookmarkEnd w:id="21"/>
      <w:r>
        <w:rPr>
          <w:b w:val="1"/>
          <w:sz w:val="48"/>
          <w:szCs w:val="48"/>
        </w:rPr>
        <w:t>10. Evidence Preservation</w:t>
      </w:r>
    </w:p>
    <w:tbl>
      <w:tblPr>
        <w:tblStyle w:val="T1"/>
        <w:tblW w:w="0" w:type="auto"/>
        <w:tblLook w:val="04A0"/>
      </w:tblPr>
      <w:tblGrid>
        <w:gridCol w:w="1802"/>
        <w:gridCol w:w="1804"/>
        <w:gridCol w:w="1805"/>
        <w:gridCol w:w="1804"/>
        <w:gridCol w:w="1804"/>
      </w:tblGrid>
      <w:tr>
        <w:tc>
          <w:tcPr>
            <w:tcW w:w="1805" w:type="dxa"/>
          </w:tcPr>
          <w:p>
            <w:pPr>
              <w:rPr>
                <w:rFonts w:ascii="Calibri" w:hAnsi="Calibri"/>
                <w:b w:val="1"/>
                <w:bCs w:val="1"/>
              </w:rPr>
            </w:pPr>
            <w:bookmarkStart w:id="22" w:name="_dx_frag_EndFragment"/>
            <w:bookmarkEnd w:id="22"/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Iteam</w:t>
            </w:r>
          </w:p>
        </w:tc>
        <w:tc>
          <w:tcPr>
            <w:tcW w:w="1805" w:type="dxa"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Descriptio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n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b w:val="1"/>
                <w:bCs w:val="1"/>
              </w:rPr>
            </w:pP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 xml:space="preserve">Collected 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b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y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b w:val="1"/>
                <w:bCs w:val="1"/>
              </w:rPr>
            </w:pP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Da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te</w:t>
            </w:r>
          </w:p>
        </w:tc>
        <w:tc>
          <w:tcPr>
            <w:tcW w:w="1806" w:type="dxa"/>
          </w:tcPr>
          <w:p>
            <w:pPr>
              <w:rPr>
                <w:rFonts w:ascii="Calibri" w:hAnsi="Calibri"/>
                <w:b w:val="1"/>
                <w:bCs w:val="1"/>
              </w:rPr>
            </w:pP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Has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h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 xml:space="preserve"> v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alu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e</w:t>
            </w:r>
          </w:p>
        </w:tc>
      </w:tr>
      <w:tr>
        <w:tc>
          <w:tcPr>
            <w:tcW w:w="1805" w:type="dxa"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  <w:rtl w:val="0"/>
                <w:lang w:val="en-US" w:bidi="en-US" w:eastAsia="en-US"/>
              </w:rPr>
              <w:t>soc analyst</w:t>
            </w:r>
          </w:p>
        </w:tc>
        <w:tc>
          <w:tcPr>
            <w:tcW w:w="1805" w:type="dxa"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  <w:rtl w:val="0"/>
                <w:lang w:val="en-US" w:bidi="en-US" w:eastAsia="en-US"/>
              </w:rPr>
              <w:t>server-x</w:t>
            </w:r>
            <w:r>
              <w:rPr>
                <w:rFonts w:ascii="Calibri" w:hAnsi="Calibri"/>
                <w:rtl w:val="0"/>
                <w:lang w:val="en-US" w:bidi="en-US" w:eastAsia="en-US"/>
              </w:rPr>
              <w:t xml:space="preserve"> dum</w:t>
            </w:r>
            <w:r>
              <w:rPr>
                <w:rFonts w:ascii="Calibri" w:hAnsi="Calibri"/>
                <w:rtl w:val="0"/>
                <w:lang w:val="en-US" w:bidi="en-US" w:eastAsia="en-US"/>
              </w:rPr>
              <w:t>p</w:t>
            </w:r>
          </w:p>
        </w:tc>
        <w:tc>
          <w:tcPr>
            <w:tcW w:w="1806" w:type="dxa"/>
          </w:tcPr>
          <w:tbl>
            <w:tblPr>
              <w:tblStyle w:val="T1"/>
              <w:tblW w:w="0" w:type="auto"/>
              <w:tblLayout w:type="autofit"/>
              <w:tblLook w:val="04A0"/>
            </w:tblPr>
            <w:tblGrid>
              <w:gridCol w:w="1579"/>
            </w:tblGrid>
            <w:tr>
              <w:tc>
                <w:tcPr>
                  <w:tcW w:w="1805" w:type="dxa"/>
                </w:tcPr>
                <w:p>
                  <w:pPr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rtl w:val="0"/>
                      <w:lang w:val="en-US" w:bidi="en-US" w:eastAsia="en-US"/>
                    </w:rPr>
                    <w:t>soc analyst</w:t>
                  </w:r>
                </w:p>
              </w:tc>
            </w:tr>
          </w:tbl>
          <w:p>
            <w:pPr>
              <w:rPr>
                <w:rFonts w:ascii="Calibri" w:hAnsi="Calibri"/>
              </w:rPr>
            </w:pPr>
          </w:p>
        </w:tc>
        <w:tc>
          <w:tcPr>
            <w:tcW w:w="1806" w:type="dxa"/>
          </w:tcPr>
          <w:tbl>
            <w:tblPr>
              <w:tblStyle w:val="T1"/>
              <w:tblW w:w="0" w:type="auto"/>
              <w:tblLayout w:type="autofit"/>
              <w:tblLook w:val="04A0"/>
            </w:tblPr>
            <w:tblGrid>
              <w:gridCol w:w="1578"/>
            </w:tblGrid>
            <w:tr>
              <w:tc>
                <w:tcPr>
                  <w:tcW w:w="1805" w:type="dxa"/>
                </w:tcPr>
                <w:p>
                  <w:pPr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  <w:rtl w:val="0"/>
                      <w:lang w:val="en-US" w:bidi="en-US" w:eastAsia="en-US"/>
                    </w:rPr>
                    <w:t>2026-</w:t>
                  </w:r>
                  <w:r>
                    <w:rPr>
                      <w:rFonts w:ascii="Calibri" w:hAnsi="Calibri"/>
                      <w:rtl w:val="0"/>
                      <w:lang w:val="en-US" w:bidi="en-US" w:eastAsia="en-US"/>
                    </w:rPr>
                    <w:t>05-26</w:t>
                  </w:r>
                </w:p>
              </w:tc>
            </w:tr>
          </w:tbl>
          <w:p>
            <w:pPr>
              <w:rPr>
                <w:rFonts w:ascii="Calibri" w:hAnsi="Calibri"/>
              </w:rPr>
            </w:pPr>
          </w:p>
        </w:tc>
        <w:tc>
          <w:tcPr>
            <w:tcW w:w="1806" w:type="dxa"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  <w:rtl w:val="0"/>
                <w:lang w:val="en-US" w:bidi="en-US" w:eastAsia="en-US"/>
              </w:rPr>
              <w:t xml:space="preserve">sha256 </w:t>
            </w:r>
          </w:p>
        </w:tc>
      </w:tr>
    </w:tbl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23" w:name="_dx_frag_StartFragment"/>
      <w:bookmarkEnd w:id="23"/>
      <w:r>
        <w:rPr>
          <w:b w:val="1"/>
          <w:sz w:val="48"/>
          <w:szCs w:val="48"/>
        </w:rPr>
        <w:t>11. Capstone Project</w:t>
      </w:r>
    </w:p>
    <w:p>
      <w:pPr>
        <w:spacing w:before="240" w:after="240"/>
        <w:ind w:firstLine="0" w:left="0" w:right="0"/>
        <w:outlineLvl w:val="1"/>
        <w:rPr>
          <w:rFonts w:ascii="Calibri" w:hAnsi="Calibri"/>
          <w:b w:val="1"/>
          <w:sz w:val="36"/>
        </w:rPr>
      </w:pPr>
      <w:r>
        <w:rPr>
          <w:rFonts w:ascii="Calibri" w:hAnsi="Calibri"/>
          <w:b w:val="1"/>
          <w:sz w:val="36"/>
          <w:szCs w:val="36"/>
        </w:rPr>
        <w:t>Commands Used</w:t>
      </w:r>
    </w:p>
    <w:p>
      <w:pPr>
        <w:rPr>
          <w:rFonts w:ascii="Calibri" w:hAnsi="Calibri" w:cs="Courier New" w:eastAsia="Courier New"/>
          <w:sz w:val="20"/>
          <w:szCs w:val="20"/>
          <w:rtl w:val="0"/>
        </w:rPr>
      </w:pPr>
      <w:bookmarkStart w:id="24" w:name="code-block-viewer"/>
      <w:bookmarkEnd w:id="24"/>
      <w:r>
        <w:rPr>
          <w:rFonts w:ascii="Calibri" w:hAnsi="Calibri" w:cs="Courier New" w:eastAsia="Courier New"/>
          <w:sz w:val="20"/>
          <w:szCs w:val="20"/>
          <w:rtl w:val="0"/>
        </w:rPr>
        <w:t>msfconsole</w:t>
        <w:br w:type="textWrapping"/>
        <w:t>search vsftpd</w:t>
      </w:r>
      <w:bookmarkStart w:id="25" w:name="_dx_frag_EndFragment"/>
      <w:bookmarkEnd w:id="25"/>
    </w:p>
    <w:p>
      <w:pPr>
        <w:rPr>
          <w:rFonts w:ascii="Calibri" w:hAnsi="Calibri" w:cs="Courier New" w:eastAsia="Courier New"/>
          <w:sz w:val="20"/>
          <w:szCs w:val="20"/>
          <w:rtl w:val="0"/>
        </w:rPr>
      </w:pPr>
    </w:p>
    <w:p>
      <w:pPr>
        <w:rPr>
          <w:rFonts w:ascii="Calibri" w:hAnsi="Calibri"/>
        </w:rPr>
      </w:pPr>
      <w:r>
        <w:drawing>
          <wp:inline xmlns:wp="http://schemas.openxmlformats.org/drawingml/2006/wordprocessingDrawing" distT="0" distB="0" distL="0" distR="0">
            <wp:extent cx="5733415" cy="4299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</w:rPr>
      </w:pPr>
    </w:p>
    <w:p>
      <w:pPr>
        <w:rPr>
          <w:b w:val="1"/>
          <w:bCs w:val="1"/>
          <w:sz w:val="36"/>
          <w:szCs w:val="36"/>
        </w:rPr>
      </w:pPr>
      <w:bookmarkStart w:id="26" w:name="_dx_frag_StartFragment"/>
      <w:bookmarkEnd w:id="26"/>
      <w:r>
        <w:rPr>
          <w:b w:val="1"/>
          <w:bCs w:val="1"/>
          <w:sz w:val="36"/>
          <w:szCs w:val="36"/>
        </w:rPr>
        <w:t>Detection Table</w:t>
      </w:r>
      <w:bookmarkStart w:id="27" w:name="_dx_frag_EndFragment"/>
      <w:bookmarkEnd w:id="27"/>
    </w:p>
    <w:p>
      <w:pPr>
        <w:rPr>
          <w:rFonts w:ascii="Calibri" w:hAnsi="Calibri"/>
          <w:b w:val="1"/>
          <w:bCs w:val="1"/>
          <w:sz w:val="36"/>
          <w:szCs w:val="36"/>
        </w:rPr>
      </w:pPr>
    </w:p>
    <w:tbl>
      <w:tblPr>
        <w:tblStyle w:val="T1"/>
        <w:tblW w:w="0" w:type="auto"/>
        <w:tblLook w:val="04A0"/>
      </w:tblPr>
      <w:tblGrid>
        <w:gridCol w:w="2254"/>
        <w:gridCol w:w="2255"/>
        <w:gridCol w:w="2255"/>
        <w:gridCol w:w="2255"/>
      </w:tblGrid>
      <w:tr>
        <w:tc>
          <w:tcPr>
            <w:tcW w:w="2257" w:type="dxa"/>
          </w:tcPr>
          <w:p>
            <w:pPr>
              <w:rPr>
                <w:rFonts w:ascii="Calibri" w:hAnsi="Calibri"/>
                <w:b w:val="1"/>
                <w:bCs w:val="1"/>
              </w:rPr>
            </w:pPr>
            <w:bookmarkStart w:id="28" w:name="_dx_frag_StartFragment"/>
            <w:bookmarkEnd w:id="28"/>
            <w:bookmarkStart w:id="29" w:name="_dx_frag_EndFragment"/>
            <w:bookmarkEnd w:id="29"/>
            <w:r>
              <w:rPr>
                <w:b w:val="1"/>
                <w:bCs w:val="1"/>
                <w:rtl w:val="0"/>
                <w:lang w:val="en-US" w:bidi="en-US" w:eastAsia="en-US"/>
              </w:rPr>
              <w:t>Timestamp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  <w:b w:val="1"/>
                <w:bCs w:val="1"/>
              </w:rPr>
            </w:pP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Sour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ce ip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  <w:b w:val="1"/>
                <w:bCs w:val="1"/>
              </w:rPr>
            </w:pP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Alert descriptio</w:t>
            </w: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n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  <w:b w:val="1"/>
                <w:bCs w:val="1"/>
              </w:rPr>
            </w:pPr>
            <w:r>
              <w:rPr>
                <w:rFonts w:ascii="Calibri" w:hAnsi="Calibri"/>
                <w:b w:val="1"/>
                <w:bCs w:val="1"/>
                <w:rtl w:val="0"/>
                <w:lang w:val="en-US" w:bidi="en-US" w:eastAsia="en-US"/>
              </w:rPr>
              <w:t>Mitre technique</w:t>
            </w:r>
          </w:p>
        </w:tc>
      </w:tr>
      <w:tr>
        <w:tc>
          <w:tcPr>
            <w:tcW w:w="2257" w:type="dxa"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  <w:rtl w:val="0"/>
                <w:lang w:val="en-US" w:bidi="en-US" w:eastAsia="en-US"/>
              </w:rPr>
              <w:t>2026-05-26 11</w:t>
            </w:r>
            <w:r>
              <w:rPr>
                <w:rFonts w:ascii="Calibri" w:hAnsi="Calibri"/>
                <w:rtl w:val="0"/>
                <w:lang w:val="en-US" w:bidi="en-US" w:eastAsia="en-US"/>
              </w:rPr>
              <w:t>:00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  <w:rtl w:val="0"/>
                <w:lang w:val="en-US" w:bidi="en-US" w:eastAsia="en-US"/>
              </w:rPr>
              <w:t>192.168.1.100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  <w:rtl w:val="0"/>
                <w:lang w:val="en-US" w:bidi="en-US" w:eastAsia="en-US"/>
              </w:rPr>
              <w:t>vsftpd exploit</w:t>
            </w:r>
          </w:p>
        </w:tc>
        <w:tc>
          <w:tcPr>
            <w:tcW w:w="2257" w:type="dxa"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  <w:rtl w:val="0"/>
                <w:lang w:val="en-US" w:bidi="en-US" w:eastAsia="en-US"/>
              </w:rPr>
              <w:t>T</w:t>
            </w:r>
            <w:r>
              <w:rPr>
                <w:rFonts w:ascii="Calibri" w:hAnsi="Calibri"/>
                <w:rtl w:val="0"/>
                <w:lang w:val="en-US" w:bidi="en-US" w:eastAsia="en-US"/>
              </w:rPr>
              <w:t>1190</w:t>
            </w:r>
          </w:p>
        </w:tc>
      </w:tr>
    </w:tbl>
    <w:p>
      <w:pPr>
        <w:rPr>
          <w:rFonts w:ascii="Calibri" w:hAnsi="Calibri"/>
        </w:rPr>
      </w:pPr>
    </w:p>
    <w:p/>
    <w:p/>
    <w:p/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30" w:name="_dx_frag_StartFragment"/>
      <w:bookmarkEnd w:id="30"/>
      <w:r>
        <w:rPr>
          <w:b w:val="1"/>
          <w:sz w:val="48"/>
          <w:szCs w:val="48"/>
        </w:rPr>
        <w:t>12. Key Learnings</w:t>
      </w:r>
    </w:p>
    <w:p>
      <w:pPr>
        <w:numPr>
          <w:ilvl w:val="0"/>
          <w:numId w:val="7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Learned alert prioritization using CVSS </w:t>
      </w:r>
    </w:p>
    <w:p>
      <w:pPr>
        <w:numPr>
          <w:ilvl w:val="0"/>
          <w:numId w:val="7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Learned MITRE ATT&amp;CK mapping </w:t>
      </w:r>
    </w:p>
    <w:p>
      <w:pPr>
        <w:numPr>
          <w:ilvl w:val="0"/>
          <w:numId w:val="7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Practiced incident response documentation </w:t>
      </w:r>
    </w:p>
    <w:p>
      <w:pPr>
        <w:numPr>
          <w:ilvl w:val="0"/>
          <w:numId w:val="7"/>
        </w:numPr>
        <w:spacing w:before="0" w:after="0"/>
        <w:ind w:hanging="360" w:left="720" w:right="0"/>
        <w:rPr>
          <w:rFonts w:ascii="Calibri" w:hAnsi="Calibri"/>
        </w:rPr>
      </w:pPr>
      <w:r>
        <w:rPr>
          <w:rFonts w:ascii="Calibri" w:hAnsi="Calibri"/>
        </w:rPr>
        <w:t xml:space="preserve">Understood alert triage and evidence handling </w:t>
      </w:r>
      <w:bookmarkStart w:id="31" w:name="_dx_frag_EndFragment"/>
      <w:bookmarkEnd w:id="31"/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Calibri" w:hAnsi="Calibri"/>
        </w:rPr>
      </w:pPr>
    </w:p>
    <w:p>
      <w:pPr>
        <w:rPr>
          <w:rFonts w:ascii="Arial Black" w:hAnsi="Arial Black"/>
          <w:sz w:val="36"/>
          <w:szCs w:val="36"/>
        </w:rPr>
      </w:pPr>
      <w:r>
        <w:rPr>
          <w:rFonts w:ascii="Calibri" w:hAnsi="Calibri"/>
          <w:rtl w:val="0"/>
          <w:lang w:val="en-US" w:bidi="en-US" w:eastAsia="en-US"/>
        </w:rPr>
        <w:t xml:space="preserve">                                                                    </w:t>
      </w:r>
      <w:r>
        <w:rPr>
          <w:rFonts w:ascii="Arial Black" w:hAnsi="Arial Black"/>
          <w:sz w:val="36"/>
          <w:szCs w:val="36"/>
          <w:rtl w:val="0"/>
          <w:lang w:val="en-US" w:bidi="en-US" w:eastAsia="en-US"/>
        </w:rPr>
        <w:t>THANK YOU...</w:t>
      </w:r>
    </w:p>
    <w:sectPr>
      <w:headerReference w:type="default" r:id="RelHdr1"/>
      <w:footerReference w:type="default" r:id="RelFtr1"/>
      <w:footnotePr/>
      <w:endnotePr/>
      <w:type w:val="nextPage"/>
      <w:pgSz w:w="11909" w:h="16834" w:code="0"/>
      <w:pgMar w:left="1440" w:right="1440" w:top="1440" w:bottom="1440" w:header="576" w:footer="432" w:gutter="0"/>
      <w:pgNumType w:start="1" w:chapSep="period"/>
      <w:cols w:equalWidth="1"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beforeAutospacing="0" w:afterAutospacing="0"/>
      </w:pPr>
      <w:r>
        <w:separator/>
      </w:r>
    </w:p>
  </w:endnote>
  <w:endnote w:type="continuationSeparator" w:id="0">
    <w:p>
      <w:pPr>
        <w:spacing w:lineRule="auto" w:line="24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</w:pPr>
    <w:r>
      <w:pict>
        <v:rect xmlns:o="urn:schemas-microsoft-com:office:office" id="2" style="width:0pt;height:1.5pt" o:hrpct="1000" o:hralign="center" o:hr="t" fillcolor="#A0A0A0" stroked="f"/>
      </w:pict>
    </w:r>
  </w:p>
  <w:p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 w:val="1"/>
      </w:rPr>
      <w:t>#</w:t>
    </w:r>
    <w:r>
      <w:rPr>
        <w:noProof w:val="1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beforeAutospacing="0" w:afterAutospacing="0"/>
      </w:pPr>
      <w:r>
        <w:separator/>
      </w:r>
    </w:p>
  </w:footnote>
  <w:footnote w:type="continuationSeparator" w:id="0">
    <w:p>
      <w:pPr>
        <w:spacing w:lineRule="auto" w:line="24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r>
      <w:rPr>
        <w:noProof w:val="1"/>
      </w:rPr>
      <w:drawing>
        <wp:anchor xmlns:wp="http://schemas.openxmlformats.org/drawingml/2006/wordprocessingDrawing" distT="114300" distB="114300" distL="114300" distR="114300" simplePos="0" relativeHeight="1" behindDoc="0" locked="0" layoutInCell="1" allowOverlap="1">
          <wp:simplePos x="0" y="0"/>
          <wp:positionH relativeFrom="column">
            <wp:posOffset>-1443990</wp:posOffset>
          </wp:positionH>
          <wp:positionV relativeFrom="paragraph">
            <wp:posOffset>-342265</wp:posOffset>
          </wp:positionV>
          <wp:extent cx="8617585" cy="1023620"/>
          <wp:effectExtent l="0" t="0" r="0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dpi="0">
                  <a:blip xmlns:r="http://schemas.openxmlformats.org/officeDocument/2006/relationships" r:embed="Relimage7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2" cy="1023938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nsid w:val="75345721"/>
    <w:multiLevelType w:val="hybridMultilevel"/>
    <w:lvl w:ilvl="0" w:tplc="1F6E6E8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2B352B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3CAF1E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9427BC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07A2B7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11975C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109B02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1B1390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FF0DA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3B6D961D"/>
    <w:multiLevelType w:val="hybridMultilevel"/>
    <w:lvl w:ilvl="0" w:tplc="5C479AA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A9ECFE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045443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FC9ED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5B48DB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C51DF6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9A84E2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72D1A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91FBAF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1FB38BF0"/>
    <w:multiLevelType w:val="hybridMultilevel"/>
    <w:lvl w:ilvl="0" w:tplc="262FBD57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9BA07F7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99FE43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D644840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7C1CCA9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088D2A7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4C16EF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14A7F3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2783EB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3">
    <w:nsid w:val="51660386"/>
    <w:multiLevelType w:val="hybridMultilevel"/>
    <w:lvl w:ilvl="0" w:tplc="21FC798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CBCF3F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C83421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4698F1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114A69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FBBC1A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385B5C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BF63C1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E7879E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211C8FA7"/>
    <w:multiLevelType w:val="hybridMultilevel"/>
    <w:lvl w:ilvl="0" w:tplc="61951E8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F28685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BAE717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3CABA0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F68815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230C24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457276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D9DC75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5FC119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014E8189"/>
    <w:multiLevelType w:val="hybridMultilevel"/>
    <w:lvl w:ilvl="0" w:tplc="4365A03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1F6CEA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FCB4D5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7F22E7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441982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4C6E2B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F8147D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93226A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FD3556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7932D3B6"/>
    <w:multiLevelType w:val="hybridMultilevel"/>
    <w:lvl w:ilvl="0" w:tplc="4DDEFAD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4A78EF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6961BF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391DCC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B10D94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5B6818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CEB3EF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6608E8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110F91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GB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120" w:beforeAutospacing="0" w:afterAutospacing="0"/>
      <w:outlineLvl w:val="1"/>
    </w:pPr>
    <w:rPr>
      <w:sz w:val="32"/>
      <w:szCs w:val="32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320" w:after="80" w:beforeAutospacing="0" w:afterAutospacing="0"/>
      <w:outlineLvl w:val="2"/>
    </w:pPr>
    <w:rPr>
      <w:color w:val="434343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40" w:after="80" w:beforeAutospacing="0" w:afterAutospacing="0"/>
      <w:outlineLvl w:val="4"/>
    </w:pPr>
    <w:rPr>
      <w:color w:val="666666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40" w:after="80" w:beforeAutospacing="0" w:afterAutospacing="0"/>
      <w:outlineLvl w:val="5"/>
    </w:pPr>
    <w:rPr>
      <w:i w:val="1"/>
      <w:color w:val="666666"/>
    </w:rPr>
  </w:style>
  <w:style w:type="paragraph" w:styleId="P7">
    <w:name w:val="Title"/>
    <w:basedOn w:val="P0"/>
    <w:next w:val="P0"/>
    <w:qFormat/>
    <w:pPr>
      <w:keepNext w:val="1"/>
      <w:keepLines w:val="1"/>
      <w:spacing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qFormat/>
    <w:pPr>
      <w:keepNext w:val="1"/>
      <w:keepLines w:val="1"/>
      <w:spacing w:after="320" w:beforeAutospacing="0" w:afterAutospacing="0"/>
    </w:pPr>
    <w:rPr>
      <w:color w:val="666666"/>
      <w:sz w:val="30"/>
      <w:szCs w:val="30"/>
    </w:rPr>
  </w:style>
  <w:style w:type="paragraph" w:styleId="P9">
    <w:name w:val="Header"/>
    <w:basedOn w:val="P0"/>
    <w:link w:val="C3"/>
    <w:pPr>
      <w:tabs>
        <w:tab w:val="center" w:pos="4513" w:leader="none"/>
        <w:tab w:val="right" w:pos="9026" w:leader="none"/>
      </w:tabs>
      <w:spacing w:lineRule="auto" w:line="240" w:beforeAutospacing="0" w:afterAutospacing="0"/>
    </w:pPr>
    <w:rPr/>
  </w:style>
  <w:style w:type="paragraph" w:styleId="P10">
    <w:name w:val="Footer"/>
    <w:basedOn w:val="P0"/>
    <w:link w:val="C4"/>
    <w:pPr>
      <w:tabs>
        <w:tab w:val="center" w:pos="4513" w:leader="none"/>
        <w:tab w:val="right" w:pos="9026" w:leader="none"/>
      </w:tabs>
      <w:spacing w:lineRule="auto" w:line="240" w:beforeAutospacing="0" w:afterAutospacing="0"/>
    </w:pPr>
    <w:rPr/>
  </w:style>
  <w:style w:type="paragraph" w:styleId="P11">
    <w:name w:val="Footnote Text"/>
    <w:link w:val="C6"/>
    <w:semiHidden/>
    <w:pPr>
      <w:spacing w:lineRule="auto" w:line="240" w:after="0"/>
    </w:pPr>
    <w:rPr>
      <w:sz w:val="20"/>
      <w:szCs w:val="20"/>
    </w:rPr>
  </w:style>
  <w:style w:type="paragraph" w:styleId="P12">
    <w:name w:val="Endnote Text"/>
    <w:link w:val="C8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9"/>
    <w:rPr/>
  </w:style>
  <w:style w:type="character" w:styleId="C4">
    <w:name w:val="Footer Char"/>
    <w:basedOn w:val="C0"/>
    <w:link w:val="P10"/>
    <w:rPr/>
  </w:style>
  <w:style w:type="character" w:styleId="C5">
    <w:name w:val="Footnote Reference"/>
    <w:semiHidden/>
    <w:rPr>
      <w:vertAlign w:val="superscript"/>
    </w:rPr>
  </w:style>
  <w:style w:type="character" w:styleId="C6">
    <w:name w:val="Footnote Text Char"/>
    <w:link w:val="P11"/>
    <w:semiHidden/>
    <w:rPr>
      <w:sz w:val="20"/>
      <w:szCs w:val="20"/>
    </w:rPr>
  </w:style>
  <w:style w:type="character" w:styleId="C7">
    <w:name w:val="Endnote Reference"/>
    <w:semiHidden/>
    <w:rPr>
      <w:vertAlign w:val="superscript"/>
    </w:rPr>
  </w:style>
  <w:style w:type="character" w:styleId="C8">
    <w:name w:val="Endnote Text Char"/>
    <w:link w:val="P12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jp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jp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header1.xml.rels>&#65279;<?xml version="1.0" encoding="utf-8"?><Relationships xmlns="http://schemas.openxmlformats.org/package/2006/relationships"><Relationship Id="Relimage7" Type="http://schemas.openxmlformats.org/officeDocument/2006/relationships/image" Target="/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2026-05-28T11:36:00Z</dcterms:created>
  <dcterms:modified xsi:type="dcterms:W3CDTF">2026-05-28T11:36:00Z</dcterms:modified>
  <cp:revision>2</cp:revision>
</cp:coreProperties>
</file>