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0095B" w14:textId="77777777" w:rsidR="00971F3B" w:rsidRPr="00971F3B" w:rsidRDefault="00971F3B" w:rsidP="00971F3B">
      <w:pPr>
        <w:pStyle w:val="Heading1"/>
        <w:spacing w:line="360" w:lineRule="auto"/>
        <w:rPr>
          <w:sz w:val="44"/>
          <w:szCs w:val="44"/>
        </w:rPr>
      </w:pPr>
      <w:r w:rsidRPr="00971F3B">
        <w:rPr>
          <w:sz w:val="44"/>
          <w:szCs w:val="44"/>
        </w:rPr>
        <w:t>Title</w:t>
      </w:r>
    </w:p>
    <w:p w14:paraId="3673DC93" w14:textId="1910B9AD" w:rsidR="00971F3B" w:rsidRPr="00971F3B" w:rsidRDefault="00971F3B" w:rsidP="00971F3B">
      <w:pPr>
        <w:pStyle w:val="Heading1"/>
        <w:spacing w:line="360" w:lineRule="auto"/>
      </w:pPr>
      <w:r w:rsidRPr="00971F3B">
        <w:t xml:space="preserve">Innovative </w:t>
      </w:r>
      <w:r w:rsidR="005A1554">
        <w:t>Education S</w:t>
      </w:r>
      <w:r w:rsidR="005A1554" w:rsidRPr="005A1554">
        <w:t>trategies</w:t>
      </w:r>
      <w:r w:rsidR="005A1554">
        <w:t xml:space="preserve"> in  Higher Education</w:t>
      </w:r>
    </w:p>
    <w:p w14:paraId="15E1B830" w14:textId="77777777" w:rsidR="00971F3B" w:rsidRPr="00971F3B" w:rsidRDefault="00000000" w:rsidP="00971F3B">
      <w:pPr>
        <w:spacing w:line="360" w:lineRule="auto"/>
        <w:rPr>
          <w:rFonts w:asciiTheme="majorHAnsi" w:hAnsiTheme="majorHAnsi"/>
          <w:sz w:val="24"/>
          <w:szCs w:val="24"/>
        </w:rPr>
      </w:pPr>
      <w:r>
        <w:rPr>
          <w:rFonts w:asciiTheme="majorHAnsi" w:hAnsiTheme="majorHAnsi"/>
          <w:sz w:val="24"/>
          <w:szCs w:val="24"/>
        </w:rPr>
        <w:pict w14:anchorId="7388D710">
          <v:rect id="_x0000_i1025" style="width:0;height:1.5pt" o:hralign="center" o:hrstd="t" o:hr="t" fillcolor="#a0a0a0" stroked="f"/>
        </w:pict>
      </w:r>
    </w:p>
    <w:p w14:paraId="0F63D98A" w14:textId="67640040" w:rsidR="00971F3B" w:rsidRPr="00971F3B" w:rsidRDefault="00971F3B" w:rsidP="00971F3B">
      <w:pPr>
        <w:spacing w:line="360" w:lineRule="auto"/>
        <w:rPr>
          <w:rFonts w:asciiTheme="majorHAnsi" w:hAnsiTheme="majorHAnsi"/>
          <w:sz w:val="24"/>
          <w:szCs w:val="24"/>
        </w:rPr>
      </w:pPr>
      <w:r w:rsidRPr="00971F3B">
        <w:rPr>
          <w:rStyle w:val="Heading1Char"/>
        </w:rPr>
        <w:t>Abstract</w:t>
      </w:r>
      <w:r w:rsidRPr="00971F3B">
        <w:rPr>
          <w:rFonts w:asciiTheme="majorHAnsi" w:hAnsiTheme="majorHAnsi"/>
          <w:sz w:val="24"/>
          <w:szCs w:val="24"/>
        </w:rPr>
        <w:t xml:space="preserve"> </w:t>
      </w:r>
    </w:p>
    <w:p w14:paraId="049D3D48" w14:textId="1D8F5B6B"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In recent years, the landscape of higher education has seen a transformative shift towards innovative teaching strategies that aim to enhance student engagement and improve learning outcomes. This paper provides a comprehensive review of these innovative methods, focusing on their implementation, effectiveness, and implications for educators and students. Key strategies discussed include flipped classrooms, experiential learning, and collaborative approaches, all of which foster active learning environments and encourage deeper understanding of the material. The review also highlights the challenges of integrating these methods into traditional curricula, including the need for professional development and institutional support. The findings suggest that while these innovative approaches present challenges, they hold significant potential to revolutionize higher education by better preparing students for the complexities of the modern world. The paper concludes with recommendations for educators and institutions looking to adopt these methods, emphasizing the importance of adaptability and continuous improvement in teaching practices.</w:t>
      </w:r>
    </w:p>
    <w:p w14:paraId="2AA87610" w14:textId="77777777" w:rsidR="00971F3B" w:rsidRDefault="00971F3B" w:rsidP="00971F3B">
      <w:pPr>
        <w:spacing w:line="360" w:lineRule="auto"/>
        <w:rPr>
          <w:rFonts w:asciiTheme="majorHAnsi" w:hAnsiTheme="majorHAnsi"/>
          <w:sz w:val="24"/>
          <w:szCs w:val="24"/>
        </w:rPr>
      </w:pPr>
    </w:p>
    <w:p w14:paraId="19F0C6E7" w14:textId="77777777" w:rsidR="00971F3B" w:rsidRDefault="00971F3B" w:rsidP="00971F3B">
      <w:pPr>
        <w:spacing w:line="360" w:lineRule="auto"/>
        <w:rPr>
          <w:rFonts w:asciiTheme="majorHAnsi" w:hAnsiTheme="majorHAnsi"/>
          <w:sz w:val="24"/>
          <w:szCs w:val="24"/>
        </w:rPr>
      </w:pPr>
    </w:p>
    <w:p w14:paraId="5F09CF24" w14:textId="3E6264B1" w:rsidR="00971F3B" w:rsidRDefault="00000000" w:rsidP="00971F3B">
      <w:pPr>
        <w:spacing w:line="360" w:lineRule="auto"/>
        <w:rPr>
          <w:rFonts w:asciiTheme="majorHAnsi" w:hAnsiTheme="majorHAnsi"/>
          <w:sz w:val="24"/>
          <w:szCs w:val="24"/>
        </w:rPr>
      </w:pPr>
      <w:r>
        <w:rPr>
          <w:rFonts w:asciiTheme="majorHAnsi" w:hAnsiTheme="majorHAnsi"/>
          <w:sz w:val="24"/>
          <w:szCs w:val="24"/>
        </w:rPr>
        <w:pict w14:anchorId="1550232E">
          <v:rect id="_x0000_i1026" style="width:0;height:1.5pt" o:hralign="center" o:hrstd="t" o:hr="t" fillcolor="#a0a0a0" stroked="f"/>
        </w:pict>
      </w:r>
    </w:p>
    <w:p w14:paraId="71A13773" w14:textId="77777777" w:rsidR="00971F3B" w:rsidRPr="00971F3B" w:rsidRDefault="00971F3B" w:rsidP="00971F3B">
      <w:pPr>
        <w:spacing w:line="360" w:lineRule="auto"/>
        <w:rPr>
          <w:rFonts w:asciiTheme="majorHAnsi" w:hAnsiTheme="majorHAnsi"/>
          <w:sz w:val="24"/>
          <w:szCs w:val="24"/>
        </w:rPr>
      </w:pPr>
    </w:p>
    <w:p w14:paraId="1F44A4D6" w14:textId="2FE4FAE9" w:rsidR="00971F3B" w:rsidRPr="00971F3B" w:rsidRDefault="00971F3B" w:rsidP="00971F3B">
      <w:pPr>
        <w:spacing w:line="360" w:lineRule="auto"/>
        <w:rPr>
          <w:rFonts w:asciiTheme="majorHAnsi" w:hAnsiTheme="majorHAnsi"/>
          <w:sz w:val="24"/>
          <w:szCs w:val="24"/>
        </w:rPr>
      </w:pPr>
    </w:p>
    <w:p w14:paraId="277469A1" w14:textId="1A03B2F7" w:rsidR="00971F3B" w:rsidRDefault="00971F3B" w:rsidP="00971F3B">
      <w:pPr>
        <w:pStyle w:val="Heading1"/>
        <w:spacing w:line="360" w:lineRule="auto"/>
      </w:pPr>
      <w:r w:rsidRPr="00971F3B">
        <w:lastRenderedPageBreak/>
        <w:t xml:space="preserve">Introduction </w:t>
      </w:r>
    </w:p>
    <w:p w14:paraId="03901BD3" w14:textId="77777777" w:rsidR="00971F3B" w:rsidRPr="00971F3B" w:rsidRDefault="00971F3B" w:rsidP="00971F3B">
      <w:pPr>
        <w:spacing w:line="360" w:lineRule="auto"/>
      </w:pPr>
    </w:p>
    <w:p w14:paraId="38050EB2" w14:textId="77777777"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evolving demands of the modern workforce and the rapid pace of technological advancement have necessitated a rethinking of traditional educational practices. In higher education, there is a growing recognition that conventional lecture-based teaching methods may no longer suffice in preparing students for the challenges they will face in their careers. As a result, educators are increasingly exploring innovative teaching strategies that promote active learning, critical thinking, and the application of knowledge in real-world contexts.</w:t>
      </w:r>
    </w:p>
    <w:p w14:paraId="63016572" w14:textId="77777777" w:rsidR="00971F3B" w:rsidRDefault="00971F3B" w:rsidP="00971F3B">
      <w:pPr>
        <w:spacing w:line="360" w:lineRule="auto"/>
        <w:rPr>
          <w:rFonts w:asciiTheme="majorHAnsi" w:hAnsiTheme="majorHAnsi"/>
          <w:sz w:val="24"/>
          <w:szCs w:val="24"/>
        </w:rPr>
      </w:pPr>
    </w:p>
    <w:p w14:paraId="04E311BF" w14:textId="77777777" w:rsidR="00971F3B" w:rsidRPr="00971F3B" w:rsidRDefault="00971F3B" w:rsidP="00971F3B">
      <w:pPr>
        <w:spacing w:line="360" w:lineRule="auto"/>
        <w:rPr>
          <w:rFonts w:asciiTheme="majorHAnsi" w:hAnsiTheme="majorHAnsi"/>
          <w:sz w:val="24"/>
          <w:szCs w:val="24"/>
        </w:rPr>
      </w:pPr>
    </w:p>
    <w:p w14:paraId="351187E6" w14:textId="77777777"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This paper explores various innovative teaching methods currently being implemented in higher education, with a focus on their effectiveness and the challenges they present. The primary research question guiding this review is: What are the most effective innovative teaching methods in higher education, and how do they impact student learning outcomes? By addressing this question, the paper aims to provide educators and institutions with valuable insights into the benefits and potential pitfalls of adopting these methods.</w:t>
      </w:r>
    </w:p>
    <w:p w14:paraId="38B48635" w14:textId="77777777" w:rsidR="00971F3B" w:rsidRDefault="00971F3B" w:rsidP="00971F3B">
      <w:pPr>
        <w:spacing w:line="360" w:lineRule="auto"/>
        <w:rPr>
          <w:rFonts w:asciiTheme="majorHAnsi" w:hAnsiTheme="majorHAnsi"/>
          <w:sz w:val="24"/>
          <w:szCs w:val="24"/>
        </w:rPr>
      </w:pPr>
    </w:p>
    <w:p w14:paraId="4C071AF0" w14:textId="77777777" w:rsidR="00971F3B" w:rsidRDefault="00971F3B" w:rsidP="00971F3B">
      <w:pPr>
        <w:spacing w:line="360" w:lineRule="auto"/>
        <w:rPr>
          <w:rFonts w:asciiTheme="majorHAnsi" w:hAnsiTheme="majorHAnsi"/>
          <w:sz w:val="24"/>
          <w:szCs w:val="24"/>
        </w:rPr>
      </w:pPr>
    </w:p>
    <w:p w14:paraId="0FD4A959" w14:textId="77777777" w:rsidR="00971F3B" w:rsidRDefault="00971F3B" w:rsidP="00971F3B">
      <w:pPr>
        <w:spacing w:line="360" w:lineRule="auto"/>
        <w:rPr>
          <w:rFonts w:asciiTheme="majorHAnsi" w:hAnsiTheme="majorHAnsi"/>
          <w:sz w:val="24"/>
          <w:szCs w:val="24"/>
        </w:rPr>
      </w:pPr>
    </w:p>
    <w:p w14:paraId="7C975619" w14:textId="116A00CC" w:rsidR="00971F3B" w:rsidRPr="00971F3B" w:rsidRDefault="00000000" w:rsidP="00971F3B">
      <w:pPr>
        <w:spacing w:line="360" w:lineRule="auto"/>
        <w:rPr>
          <w:rFonts w:asciiTheme="majorHAnsi" w:hAnsiTheme="majorHAnsi"/>
          <w:sz w:val="24"/>
          <w:szCs w:val="24"/>
        </w:rPr>
      </w:pPr>
      <w:r>
        <w:rPr>
          <w:rFonts w:asciiTheme="majorHAnsi" w:hAnsiTheme="majorHAnsi"/>
          <w:sz w:val="24"/>
          <w:szCs w:val="24"/>
        </w:rPr>
        <w:pict w14:anchorId="5CCF0D12">
          <v:rect id="_x0000_i1027" style="width:0;height:1.5pt" o:hralign="center" o:hrstd="t" o:hr="t" fillcolor="#a0a0a0" stroked="f"/>
        </w:pict>
      </w:r>
    </w:p>
    <w:p w14:paraId="54CEEB3A" w14:textId="0C426AFC" w:rsidR="00971F3B" w:rsidRDefault="00971F3B" w:rsidP="00971F3B">
      <w:pPr>
        <w:pStyle w:val="Heading1"/>
        <w:spacing w:line="360" w:lineRule="auto"/>
      </w:pPr>
      <w:r w:rsidRPr="00971F3B">
        <w:t xml:space="preserve">Literature Review </w:t>
      </w:r>
    </w:p>
    <w:p w14:paraId="542B1EF9" w14:textId="77777777" w:rsidR="00971F3B" w:rsidRPr="00971F3B" w:rsidRDefault="00971F3B" w:rsidP="00971F3B"/>
    <w:p w14:paraId="2122EA83"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Shift to Student-Centered Learning</w:t>
      </w:r>
    </w:p>
    <w:p w14:paraId="538B6048"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lastRenderedPageBreak/>
        <w:t>The shift from teacher-centered to student-centered learning is a defining characteristic of innovative teaching strategies in higher education. Research suggests that student-centered approaches, which emphasize active participation and collaboration, lead to better retention of knowledge and higher levels of student engagement. For instance, the flipped classroom model, where students review lecture materials at home and engage in interactive activities in class, has been shown to improve student performance and satisfaction.</w:t>
      </w:r>
    </w:p>
    <w:p w14:paraId="24F988F1" w14:textId="77777777" w:rsidR="00971F3B" w:rsidRPr="00971F3B" w:rsidRDefault="00971F3B" w:rsidP="00971F3B">
      <w:pPr>
        <w:spacing w:line="360" w:lineRule="auto"/>
        <w:rPr>
          <w:rFonts w:asciiTheme="majorHAnsi" w:hAnsiTheme="majorHAnsi"/>
          <w:b/>
          <w:bCs/>
          <w:sz w:val="24"/>
          <w:szCs w:val="24"/>
        </w:rPr>
      </w:pPr>
      <w:r w:rsidRPr="00971F3B">
        <w:rPr>
          <w:rFonts w:asciiTheme="majorHAnsi" w:hAnsiTheme="majorHAnsi"/>
          <w:b/>
          <w:bCs/>
          <w:sz w:val="24"/>
          <w:szCs w:val="24"/>
        </w:rPr>
        <w:t>Technology Integration in Education</w:t>
      </w:r>
    </w:p>
    <w:p w14:paraId="140756C7"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integration of technology into the classroom is another key aspect of innovative teaching. Digital tools, such as online learning platforms, interactive simulations, and virtual classrooms, have made it easier for educators to create dynamic, personalized learning experiences. Studies have demonstrated that the use of technology can enhance student engagement by providing immediate feedback, facilitating collaboration, and enabling access to a wealth of online resources.</w:t>
      </w:r>
    </w:p>
    <w:p w14:paraId="7898BFDF" w14:textId="77777777" w:rsidR="00971F3B" w:rsidRPr="00971F3B" w:rsidRDefault="00971F3B" w:rsidP="00971F3B">
      <w:pPr>
        <w:spacing w:line="360" w:lineRule="auto"/>
        <w:rPr>
          <w:rFonts w:asciiTheme="majorHAnsi" w:hAnsiTheme="majorHAnsi"/>
          <w:b/>
          <w:bCs/>
          <w:sz w:val="24"/>
          <w:szCs w:val="24"/>
        </w:rPr>
      </w:pPr>
      <w:r w:rsidRPr="00971F3B">
        <w:rPr>
          <w:rFonts w:asciiTheme="majorHAnsi" w:hAnsiTheme="majorHAnsi"/>
          <w:b/>
          <w:bCs/>
          <w:sz w:val="24"/>
          <w:szCs w:val="24"/>
        </w:rPr>
        <w:t>Experiential and Collaborative Learning</w:t>
      </w:r>
    </w:p>
    <w:p w14:paraId="1705B4F7" w14:textId="77777777"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Experiential learning, which involves students actively participating in real-world tasks, is gaining popularity in higher education. This approach helps students apply theoretical knowledge in practical settings, thereby deepening their understanding of the subject matter. Collaborative learning, where students work together to solve problems and complete projects, is also increasingly recognized as a valuable teaching strategy. Research indicates that these methods not only improve academic performance but also develop essential skills such as teamwork, communication, and critical thinking.</w:t>
      </w:r>
    </w:p>
    <w:p w14:paraId="50FC3162" w14:textId="414D504E" w:rsidR="00971F3B" w:rsidRPr="00971F3B" w:rsidRDefault="00000000" w:rsidP="00971F3B">
      <w:pPr>
        <w:spacing w:line="360" w:lineRule="auto"/>
        <w:rPr>
          <w:rFonts w:asciiTheme="majorHAnsi" w:hAnsiTheme="majorHAnsi"/>
          <w:sz w:val="24"/>
          <w:szCs w:val="24"/>
        </w:rPr>
      </w:pPr>
      <w:r>
        <w:rPr>
          <w:rFonts w:asciiTheme="majorHAnsi" w:hAnsiTheme="majorHAnsi"/>
          <w:sz w:val="24"/>
          <w:szCs w:val="24"/>
        </w:rPr>
        <w:pict w14:anchorId="7663BF57">
          <v:rect id="_x0000_i1028" style="width:0;height:1.5pt" o:hralign="center" o:hrstd="t" o:hr="t" fillcolor="#a0a0a0" stroked="f"/>
        </w:pict>
      </w:r>
    </w:p>
    <w:p w14:paraId="233D06D1" w14:textId="2C8BBDFF" w:rsidR="00971F3B" w:rsidRDefault="00971F3B" w:rsidP="00971F3B">
      <w:pPr>
        <w:pStyle w:val="Heading1"/>
        <w:spacing w:line="360" w:lineRule="auto"/>
      </w:pPr>
      <w:r w:rsidRPr="00971F3B">
        <w:t xml:space="preserve">Methodology </w:t>
      </w:r>
    </w:p>
    <w:p w14:paraId="3674997A" w14:textId="77777777" w:rsidR="00971F3B" w:rsidRPr="00971F3B" w:rsidRDefault="00971F3B" w:rsidP="00971F3B">
      <w:pPr>
        <w:spacing w:line="360" w:lineRule="auto"/>
      </w:pPr>
    </w:p>
    <w:p w14:paraId="62D17A1F"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lastRenderedPageBreak/>
        <w:t>This paper employs a qualitative meta-analysis approach, synthesizing data from various studies on innovative teaching methods in higher education. The research papers selected for analysis were chosen based on their relevance to the topic, publication in reputable academic journals, and contribution to the field. Data were collected from a range of sources, including peer-reviewed articles, conference proceedings, and reports from educational organizations.</w:t>
      </w:r>
    </w:p>
    <w:p w14:paraId="1946E7BB" w14:textId="24AB7550"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The analysis focused on comparing the outcomes of different teaching strategies, particularly in terms of student engagement, learning outcomes, and skill development. The effectiveness of these methods was assessed by examining both quantitative data, such as exam scores and course completion rates, and qualitative data, such as student and teacher feedback.</w:t>
      </w:r>
    </w:p>
    <w:p w14:paraId="3395054F" w14:textId="77777777" w:rsidR="00971F3B" w:rsidRDefault="00971F3B" w:rsidP="00971F3B">
      <w:pPr>
        <w:spacing w:line="360" w:lineRule="auto"/>
        <w:rPr>
          <w:rFonts w:asciiTheme="majorHAnsi" w:hAnsiTheme="majorHAnsi"/>
          <w:sz w:val="24"/>
          <w:szCs w:val="24"/>
        </w:rPr>
      </w:pPr>
    </w:p>
    <w:p w14:paraId="5D8695D2" w14:textId="77777777" w:rsidR="00971F3B" w:rsidRDefault="00971F3B" w:rsidP="00971F3B">
      <w:pPr>
        <w:spacing w:line="360" w:lineRule="auto"/>
        <w:rPr>
          <w:rFonts w:asciiTheme="majorHAnsi" w:hAnsiTheme="majorHAnsi"/>
          <w:sz w:val="24"/>
          <w:szCs w:val="24"/>
        </w:rPr>
      </w:pPr>
    </w:p>
    <w:p w14:paraId="05177E40" w14:textId="77777777" w:rsidR="00971F3B" w:rsidRPr="00971F3B" w:rsidRDefault="00971F3B" w:rsidP="00971F3B">
      <w:pPr>
        <w:spacing w:line="360" w:lineRule="auto"/>
        <w:rPr>
          <w:rFonts w:asciiTheme="majorHAnsi" w:hAnsiTheme="majorHAnsi"/>
          <w:sz w:val="24"/>
          <w:szCs w:val="24"/>
        </w:rPr>
      </w:pPr>
    </w:p>
    <w:p w14:paraId="5034BD0F" w14:textId="77777777" w:rsidR="00971F3B" w:rsidRPr="00971F3B" w:rsidRDefault="00000000" w:rsidP="00971F3B">
      <w:pPr>
        <w:spacing w:line="360" w:lineRule="auto"/>
        <w:rPr>
          <w:rFonts w:asciiTheme="majorHAnsi" w:hAnsiTheme="majorHAnsi"/>
          <w:sz w:val="24"/>
          <w:szCs w:val="24"/>
        </w:rPr>
      </w:pPr>
      <w:r>
        <w:rPr>
          <w:rFonts w:asciiTheme="majorHAnsi" w:hAnsiTheme="majorHAnsi"/>
          <w:sz w:val="24"/>
          <w:szCs w:val="24"/>
        </w:rPr>
        <w:pict w14:anchorId="158126E3">
          <v:rect id="_x0000_i1029" style="width:0;height:1.5pt" o:hralign="center" o:hrstd="t" o:hr="t" fillcolor="#a0a0a0" stroked="f"/>
        </w:pict>
      </w:r>
    </w:p>
    <w:p w14:paraId="7EBCC0E4" w14:textId="77777777" w:rsidR="00971F3B" w:rsidRDefault="00971F3B" w:rsidP="00971F3B">
      <w:pPr>
        <w:pStyle w:val="Heading1"/>
        <w:spacing w:line="360" w:lineRule="auto"/>
      </w:pPr>
    </w:p>
    <w:p w14:paraId="19822CB1" w14:textId="77777777" w:rsidR="00971F3B" w:rsidRDefault="00971F3B" w:rsidP="00971F3B">
      <w:pPr>
        <w:pStyle w:val="Heading1"/>
        <w:spacing w:line="360" w:lineRule="auto"/>
      </w:pPr>
    </w:p>
    <w:p w14:paraId="406B86A5" w14:textId="77777777" w:rsidR="00971F3B" w:rsidRDefault="00971F3B" w:rsidP="00971F3B">
      <w:pPr>
        <w:pStyle w:val="Heading1"/>
        <w:spacing w:line="360" w:lineRule="auto"/>
      </w:pPr>
    </w:p>
    <w:p w14:paraId="7D6676EF" w14:textId="77777777" w:rsidR="00971F3B" w:rsidRPr="00971F3B" w:rsidRDefault="00971F3B" w:rsidP="00971F3B">
      <w:pPr>
        <w:spacing w:line="360" w:lineRule="auto"/>
      </w:pPr>
    </w:p>
    <w:p w14:paraId="1245D745" w14:textId="3B79806F" w:rsidR="00971F3B" w:rsidRPr="00971F3B" w:rsidRDefault="00971F3B" w:rsidP="00971F3B">
      <w:pPr>
        <w:pStyle w:val="Heading1"/>
        <w:spacing w:line="360" w:lineRule="auto"/>
      </w:pPr>
      <w:r w:rsidRPr="00971F3B">
        <w:t xml:space="preserve">Findings and Discussion </w:t>
      </w:r>
    </w:p>
    <w:p w14:paraId="1C603E59" w14:textId="77777777" w:rsidR="00971F3B" w:rsidRPr="00971F3B" w:rsidRDefault="00971F3B" w:rsidP="00971F3B">
      <w:pPr>
        <w:spacing w:line="360" w:lineRule="auto"/>
        <w:rPr>
          <w:rFonts w:asciiTheme="majorHAnsi" w:hAnsiTheme="majorHAnsi"/>
          <w:b/>
          <w:bCs/>
          <w:sz w:val="24"/>
          <w:szCs w:val="24"/>
        </w:rPr>
      </w:pPr>
      <w:r w:rsidRPr="00971F3B">
        <w:rPr>
          <w:rFonts w:asciiTheme="majorHAnsi" w:hAnsiTheme="majorHAnsi"/>
          <w:b/>
          <w:bCs/>
          <w:sz w:val="24"/>
          <w:szCs w:val="24"/>
        </w:rPr>
        <w:t>Key Findings</w:t>
      </w:r>
    </w:p>
    <w:p w14:paraId="33448C5D"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lastRenderedPageBreak/>
        <w:t>The analysis revealed that innovative teaching methods, particularly those that promote active learning and collaboration, have a significant positive impact on student outcomes. Flipped classrooms, for example, were found to increase student engagement and improve retention of material. Similarly, experiential learning activities, such as internships and project-based learning, were shown to enhance students’ understanding and application of knowledge in real-world contexts.</w:t>
      </w:r>
    </w:p>
    <w:p w14:paraId="67C98FD1"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Technology integration was also found to be highly effective in supporting innovative teaching methods. Online platforms and digital tools not only facilitate more interactive and personalized learning experiences but also make education more accessible to a wider range of students.</w:t>
      </w:r>
    </w:p>
    <w:p w14:paraId="3A9F426E" w14:textId="77777777" w:rsidR="00971F3B" w:rsidRPr="00971F3B" w:rsidRDefault="00971F3B" w:rsidP="00971F3B">
      <w:pPr>
        <w:spacing w:line="360" w:lineRule="auto"/>
        <w:rPr>
          <w:rFonts w:asciiTheme="majorHAnsi" w:hAnsiTheme="majorHAnsi"/>
          <w:b/>
          <w:bCs/>
          <w:sz w:val="24"/>
          <w:szCs w:val="24"/>
        </w:rPr>
      </w:pPr>
      <w:r w:rsidRPr="00971F3B">
        <w:rPr>
          <w:rFonts w:asciiTheme="majorHAnsi" w:hAnsiTheme="majorHAnsi"/>
          <w:b/>
          <w:bCs/>
          <w:sz w:val="24"/>
          <w:szCs w:val="24"/>
        </w:rPr>
        <w:t>Challenges in Implementation</w:t>
      </w:r>
    </w:p>
    <w:p w14:paraId="0AC45952"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Despite the clear benefits, the implementation of these innovative methods is not without challenges. One major hurdle is the need for significant changes in curriculum design and delivery. Traditional teaching methods are deeply ingrained in many educational institutions, and shifting to a more student-centered approach requires time, effort, and resources. Additionally, educators must be adequately trained to use new technologies and adapt to new teaching methods, which can be a daunting task for those who are accustomed to traditional lecture-based instruction.</w:t>
      </w:r>
    </w:p>
    <w:p w14:paraId="29A34CB9" w14:textId="77777777" w:rsid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Another challenge is resistance to change, both from educators and students. Some educators may be hesitant to adopt new methods due to a lack of familiarity or fear of losing control over the classroom. Similarly, students who are used to passive learning may struggle to adapt to more active and collaborative approaches.</w:t>
      </w:r>
    </w:p>
    <w:p w14:paraId="13F64BCA" w14:textId="77777777" w:rsidR="00B16E1B" w:rsidRDefault="00B16E1B" w:rsidP="00971F3B">
      <w:pPr>
        <w:spacing w:line="360" w:lineRule="auto"/>
        <w:rPr>
          <w:rFonts w:asciiTheme="majorHAnsi" w:hAnsiTheme="majorHAnsi"/>
          <w:sz w:val="24"/>
          <w:szCs w:val="24"/>
        </w:rPr>
      </w:pPr>
    </w:p>
    <w:p w14:paraId="52FA91D7" w14:textId="77777777" w:rsidR="00B16E1B" w:rsidRPr="00971F3B" w:rsidRDefault="00B16E1B" w:rsidP="00971F3B">
      <w:pPr>
        <w:spacing w:line="360" w:lineRule="auto"/>
        <w:rPr>
          <w:rFonts w:asciiTheme="majorHAnsi" w:hAnsiTheme="majorHAnsi"/>
          <w:sz w:val="24"/>
          <w:szCs w:val="24"/>
        </w:rPr>
      </w:pPr>
    </w:p>
    <w:p w14:paraId="78C315F1" w14:textId="77777777" w:rsidR="00971F3B" w:rsidRPr="00B16E1B" w:rsidRDefault="00971F3B" w:rsidP="00971F3B">
      <w:pPr>
        <w:spacing w:line="360" w:lineRule="auto"/>
        <w:rPr>
          <w:rFonts w:asciiTheme="majorHAnsi" w:hAnsiTheme="majorHAnsi"/>
          <w:b/>
          <w:bCs/>
          <w:sz w:val="24"/>
          <w:szCs w:val="24"/>
        </w:rPr>
      </w:pPr>
      <w:r w:rsidRPr="00B16E1B">
        <w:rPr>
          <w:rFonts w:asciiTheme="majorHAnsi" w:hAnsiTheme="majorHAnsi"/>
          <w:b/>
          <w:bCs/>
          <w:sz w:val="24"/>
          <w:szCs w:val="24"/>
        </w:rPr>
        <w:t>Implications for Educators and Institutions</w:t>
      </w:r>
    </w:p>
    <w:p w14:paraId="6F2DBC5A"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 xml:space="preserve">The findings of this review have several important implications for educators and higher education institutions. First, there is a clear need for ongoing professional development to </w:t>
      </w:r>
      <w:r w:rsidRPr="00971F3B">
        <w:rPr>
          <w:rFonts w:asciiTheme="majorHAnsi" w:hAnsiTheme="majorHAnsi"/>
          <w:sz w:val="24"/>
          <w:szCs w:val="24"/>
        </w:rPr>
        <w:lastRenderedPageBreak/>
        <w:t>help educators adapt to new teaching methods and technologies. Institutions must provide support and resources to facilitate this transition, including training programs, workshops, and access to technological tools.</w:t>
      </w:r>
    </w:p>
    <w:p w14:paraId="489FC800"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Second, institutions must be willing to invest in the necessary infrastructure to support innovative teaching methods. This includes not only physical resources, such as classroom technology and learning spaces but also organizational support for curriculum development and instructional design.</w:t>
      </w:r>
    </w:p>
    <w:p w14:paraId="3252A7B4" w14:textId="1114FB66"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Finally, there is a need for further research to explore the long-term impact of these innovative teaching methods on student outcomes. While the short-term benefits are clear, it is important to understand how these methods influence students’ success beyond the classroom, including their career readiness and ability to adapt to a rapidly changing workforce.</w:t>
      </w:r>
      <w:r w:rsidR="00000000">
        <w:rPr>
          <w:rFonts w:asciiTheme="majorHAnsi" w:hAnsiTheme="majorHAnsi"/>
          <w:sz w:val="24"/>
          <w:szCs w:val="24"/>
        </w:rPr>
        <w:pict w14:anchorId="16BD7E3A">
          <v:rect id="_x0000_i1030" style="width:0;height:1.5pt" o:hralign="center" o:hrstd="t" o:hr="t" fillcolor="#a0a0a0" stroked="f"/>
        </w:pict>
      </w:r>
    </w:p>
    <w:p w14:paraId="03810ABF" w14:textId="77777777" w:rsidR="00971F3B" w:rsidRDefault="00971F3B" w:rsidP="00971F3B">
      <w:pPr>
        <w:pStyle w:val="Heading1"/>
        <w:spacing w:line="360" w:lineRule="auto"/>
      </w:pPr>
    </w:p>
    <w:p w14:paraId="188517A3" w14:textId="77777777" w:rsidR="00971F3B" w:rsidRDefault="00971F3B" w:rsidP="00971F3B"/>
    <w:p w14:paraId="28874853" w14:textId="77777777" w:rsidR="00971F3B" w:rsidRDefault="00971F3B" w:rsidP="00971F3B"/>
    <w:p w14:paraId="1BE32E1E" w14:textId="77777777" w:rsidR="00971F3B" w:rsidRDefault="00971F3B" w:rsidP="00971F3B"/>
    <w:p w14:paraId="6D6664B1" w14:textId="77777777" w:rsidR="00971F3B" w:rsidRDefault="00971F3B" w:rsidP="00971F3B"/>
    <w:p w14:paraId="6E33E8A5" w14:textId="77777777" w:rsidR="00971F3B" w:rsidRDefault="00971F3B" w:rsidP="00971F3B"/>
    <w:p w14:paraId="7F7DD903" w14:textId="77777777" w:rsidR="00971F3B" w:rsidRDefault="00971F3B" w:rsidP="00971F3B"/>
    <w:p w14:paraId="5A4D3D55" w14:textId="77777777" w:rsidR="00971F3B" w:rsidRPr="00971F3B" w:rsidRDefault="00971F3B" w:rsidP="00971F3B"/>
    <w:p w14:paraId="3A847F8D" w14:textId="332DEA44" w:rsidR="00971F3B" w:rsidRPr="00971F3B" w:rsidRDefault="00971F3B" w:rsidP="00971F3B">
      <w:pPr>
        <w:pStyle w:val="Heading1"/>
        <w:spacing w:line="360" w:lineRule="auto"/>
      </w:pPr>
      <w:r w:rsidRPr="00971F3B">
        <w:t xml:space="preserve">Conclusion </w:t>
      </w:r>
    </w:p>
    <w:p w14:paraId="081E1440"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 xml:space="preserve">In conclusion, this paper has provided a comprehensive review of innovative teaching strategies in higher education, highlighting their effectiveness in improving student engagement and learning outcomes. The findings suggest that while these methods present </w:t>
      </w:r>
      <w:r w:rsidRPr="00971F3B">
        <w:rPr>
          <w:rFonts w:asciiTheme="majorHAnsi" w:hAnsiTheme="majorHAnsi"/>
          <w:sz w:val="24"/>
          <w:szCs w:val="24"/>
        </w:rPr>
        <w:lastRenderedPageBreak/>
        <w:t>challenges, particularly in terms of implementation and resistance to change, they hold significant potential to transform higher education.</w:t>
      </w:r>
    </w:p>
    <w:p w14:paraId="04FB8E6E"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For educators and institutions, the adoption of these innovative methods requires a commitment to ongoing professional development and a willingness to invest in the necessary resources. However, the benefits of these methods—such as improved student engagement, enhanced learning outcomes, and better preparation for real-world challenges—make them a worthwhile investment.</w:t>
      </w:r>
    </w:p>
    <w:p w14:paraId="4193C7C2"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As higher education continues to evolve, it is essential for educators to remain adaptable and open to new approaches. By embracing innovation in teaching, institutions can better prepare students for the complexities of the modern world and contribute to the development of a more skilled and adaptable workforce.</w:t>
      </w:r>
    </w:p>
    <w:p w14:paraId="5D634759" w14:textId="77777777" w:rsidR="00971F3B" w:rsidRPr="00971F3B" w:rsidRDefault="00000000" w:rsidP="00971F3B">
      <w:pPr>
        <w:spacing w:line="360" w:lineRule="auto"/>
        <w:rPr>
          <w:rFonts w:asciiTheme="majorHAnsi" w:hAnsiTheme="majorHAnsi"/>
          <w:sz w:val="24"/>
          <w:szCs w:val="24"/>
        </w:rPr>
      </w:pPr>
      <w:r>
        <w:rPr>
          <w:rFonts w:asciiTheme="majorHAnsi" w:hAnsiTheme="majorHAnsi"/>
          <w:sz w:val="24"/>
          <w:szCs w:val="24"/>
        </w:rPr>
        <w:pict w14:anchorId="7EA02D8A">
          <v:rect id="_x0000_i1031" style="width:0;height:1.5pt" o:hralign="center" o:hrstd="t" o:hr="t" fillcolor="#a0a0a0" stroked="f"/>
        </w:pict>
      </w:r>
    </w:p>
    <w:p w14:paraId="3C71744B" w14:textId="77777777" w:rsidR="00971F3B" w:rsidRDefault="00971F3B" w:rsidP="00971F3B">
      <w:pPr>
        <w:pStyle w:val="Heading1"/>
        <w:spacing w:line="360" w:lineRule="auto"/>
      </w:pPr>
    </w:p>
    <w:p w14:paraId="2F406933" w14:textId="77777777" w:rsidR="00971F3B" w:rsidRDefault="00971F3B" w:rsidP="00971F3B"/>
    <w:p w14:paraId="76CEA78E" w14:textId="77777777" w:rsidR="00971F3B" w:rsidRDefault="00971F3B" w:rsidP="00971F3B"/>
    <w:p w14:paraId="7EB52CB6" w14:textId="77777777" w:rsidR="00971F3B" w:rsidRDefault="00971F3B" w:rsidP="00971F3B"/>
    <w:p w14:paraId="045B9B3B" w14:textId="77777777" w:rsidR="00971F3B" w:rsidRPr="00971F3B" w:rsidRDefault="00971F3B" w:rsidP="00971F3B"/>
    <w:p w14:paraId="47D624FA" w14:textId="77777777" w:rsidR="00971F3B" w:rsidRPr="00971F3B" w:rsidRDefault="00971F3B" w:rsidP="00971F3B">
      <w:pPr>
        <w:spacing w:line="360" w:lineRule="auto"/>
      </w:pPr>
    </w:p>
    <w:p w14:paraId="44B5146C" w14:textId="50A09B45" w:rsidR="00971F3B" w:rsidRPr="00971F3B" w:rsidRDefault="00971F3B" w:rsidP="00971F3B">
      <w:pPr>
        <w:pStyle w:val="Heading1"/>
        <w:spacing w:line="360" w:lineRule="auto"/>
      </w:pPr>
      <w:r w:rsidRPr="00971F3B">
        <w:t xml:space="preserve">References </w:t>
      </w:r>
    </w:p>
    <w:p w14:paraId="71DD4D12"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 xml:space="preserve">OECD. (Year). </w:t>
      </w:r>
      <w:r w:rsidRPr="00971F3B">
        <w:rPr>
          <w:rFonts w:asciiTheme="majorHAnsi" w:hAnsiTheme="majorHAnsi"/>
          <w:i/>
          <w:iCs/>
          <w:sz w:val="24"/>
          <w:szCs w:val="24"/>
        </w:rPr>
        <w:t>Innovative Teaching Strategies in Higher Education: A Review</w:t>
      </w:r>
      <w:r w:rsidRPr="00971F3B">
        <w:rPr>
          <w:rFonts w:asciiTheme="majorHAnsi" w:hAnsiTheme="majorHAnsi"/>
          <w:sz w:val="24"/>
          <w:szCs w:val="24"/>
        </w:rPr>
        <w:t xml:space="preserve">. Retrieved from </w:t>
      </w:r>
      <w:hyperlink r:id="rId5" w:tgtFrame="_new" w:history="1">
        <w:r w:rsidRPr="00971F3B">
          <w:rPr>
            <w:rStyle w:val="Hyperlink"/>
            <w:rFonts w:asciiTheme="majorHAnsi" w:hAnsiTheme="majorHAnsi"/>
            <w:sz w:val="24"/>
            <w:szCs w:val="24"/>
          </w:rPr>
          <w:t>https://www.oecd-ilibrary.org/docserver/5k3tsj67l226-en.pdf?expires=1723810352&amp;id=id&amp;accname=guest&amp;checksum=A587B80C108E84C043EBEA5D5614E4C8</w:t>
        </w:r>
      </w:hyperlink>
    </w:p>
    <w:p w14:paraId="51E2A393"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 xml:space="preserve">Author, A. A., &amp; Author, B. B. (Year). Title of the article. </w:t>
      </w:r>
      <w:r w:rsidRPr="00971F3B">
        <w:rPr>
          <w:rFonts w:asciiTheme="majorHAnsi" w:hAnsiTheme="majorHAnsi"/>
          <w:i/>
          <w:iCs/>
          <w:sz w:val="24"/>
          <w:szCs w:val="24"/>
        </w:rPr>
        <w:t>Journal Name</w:t>
      </w:r>
      <w:r w:rsidRPr="00971F3B">
        <w:rPr>
          <w:rFonts w:asciiTheme="majorHAnsi" w:hAnsiTheme="majorHAnsi"/>
          <w:sz w:val="24"/>
          <w:szCs w:val="24"/>
        </w:rPr>
        <w:t xml:space="preserve">, </w:t>
      </w:r>
      <w:r w:rsidRPr="00971F3B">
        <w:rPr>
          <w:rFonts w:asciiTheme="majorHAnsi" w:hAnsiTheme="majorHAnsi"/>
          <w:i/>
          <w:iCs/>
          <w:sz w:val="24"/>
          <w:szCs w:val="24"/>
        </w:rPr>
        <w:t>Volume</w:t>
      </w:r>
      <w:r w:rsidRPr="00971F3B">
        <w:rPr>
          <w:rFonts w:asciiTheme="majorHAnsi" w:hAnsiTheme="majorHAnsi"/>
          <w:sz w:val="24"/>
          <w:szCs w:val="24"/>
        </w:rPr>
        <w:t>(Issue), Pages.</w:t>
      </w:r>
    </w:p>
    <w:p w14:paraId="7EAA17F0"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lastRenderedPageBreak/>
        <w:t xml:space="preserve">Smith, J. (Year). </w:t>
      </w:r>
      <w:r w:rsidRPr="00971F3B">
        <w:rPr>
          <w:rFonts w:asciiTheme="majorHAnsi" w:hAnsiTheme="majorHAnsi"/>
          <w:i/>
          <w:iCs/>
          <w:sz w:val="24"/>
          <w:szCs w:val="24"/>
        </w:rPr>
        <w:t>Title of the book</w:t>
      </w:r>
      <w:r w:rsidRPr="00971F3B">
        <w:rPr>
          <w:rFonts w:asciiTheme="majorHAnsi" w:hAnsiTheme="majorHAnsi"/>
          <w:sz w:val="24"/>
          <w:szCs w:val="24"/>
        </w:rPr>
        <w:t>. Publisher.</w:t>
      </w:r>
    </w:p>
    <w:p w14:paraId="5E6554B6" w14:textId="77777777" w:rsidR="00971F3B" w:rsidRPr="00971F3B" w:rsidRDefault="00971F3B" w:rsidP="00971F3B">
      <w:pPr>
        <w:spacing w:line="360" w:lineRule="auto"/>
        <w:rPr>
          <w:rFonts w:asciiTheme="majorHAnsi" w:hAnsiTheme="majorHAnsi"/>
          <w:sz w:val="24"/>
          <w:szCs w:val="24"/>
        </w:rPr>
      </w:pPr>
      <w:r w:rsidRPr="00971F3B">
        <w:rPr>
          <w:rFonts w:asciiTheme="majorHAnsi" w:hAnsiTheme="majorHAnsi"/>
          <w:sz w:val="24"/>
          <w:szCs w:val="24"/>
        </w:rPr>
        <w:t>Additional references can be added here, based on the papers and sources cited in the literature review and findings.</w:t>
      </w:r>
    </w:p>
    <w:p w14:paraId="26B32859" w14:textId="77777777" w:rsidR="00971F3B" w:rsidRDefault="00971F3B" w:rsidP="00971F3B">
      <w:pPr>
        <w:spacing w:line="360" w:lineRule="auto"/>
        <w:rPr>
          <w:rFonts w:asciiTheme="majorHAnsi" w:hAnsiTheme="majorHAnsi"/>
          <w:sz w:val="24"/>
          <w:szCs w:val="24"/>
        </w:rPr>
      </w:pPr>
    </w:p>
    <w:p w14:paraId="594518F2" w14:textId="530C42A2" w:rsidR="001515D9" w:rsidRPr="00971F3B" w:rsidRDefault="00000000" w:rsidP="00971F3B">
      <w:pPr>
        <w:spacing w:line="360" w:lineRule="auto"/>
        <w:rPr>
          <w:rFonts w:asciiTheme="majorHAnsi" w:hAnsiTheme="majorHAnsi"/>
          <w:sz w:val="24"/>
          <w:szCs w:val="24"/>
        </w:rPr>
      </w:pPr>
      <w:r>
        <w:rPr>
          <w:rFonts w:asciiTheme="majorHAnsi" w:hAnsiTheme="majorHAnsi"/>
          <w:sz w:val="24"/>
          <w:szCs w:val="24"/>
        </w:rPr>
        <w:pict w14:anchorId="421FA511">
          <v:rect id="_x0000_i1032" style="width:0;height:1.5pt" o:hralign="center" o:hrstd="t" o:hr="t" fillcolor="#a0a0a0" stroked="f"/>
        </w:pict>
      </w:r>
      <w:r>
        <w:rPr>
          <w:rFonts w:asciiTheme="majorHAnsi" w:hAnsiTheme="majorHAnsi"/>
          <w:sz w:val="24"/>
          <w:szCs w:val="24"/>
        </w:rPr>
        <w:pict w14:anchorId="4FAD35B2">
          <v:rect id="_x0000_i1033" style="width:0;height:1.5pt" o:hralign="center" o:hrstd="t" o:hr="t" fillcolor="#a0a0a0" stroked="f"/>
        </w:pict>
      </w:r>
    </w:p>
    <w:sectPr w:rsidR="001515D9" w:rsidRPr="0097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24948"/>
    <w:multiLevelType w:val="multilevel"/>
    <w:tmpl w:val="290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81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3B"/>
    <w:rsid w:val="00003625"/>
    <w:rsid w:val="0002585E"/>
    <w:rsid w:val="000F2816"/>
    <w:rsid w:val="001515D9"/>
    <w:rsid w:val="005A1554"/>
    <w:rsid w:val="008F02E6"/>
    <w:rsid w:val="00971F3B"/>
    <w:rsid w:val="00B16E1B"/>
    <w:rsid w:val="00B67B20"/>
    <w:rsid w:val="00DF72AE"/>
    <w:rsid w:val="00EB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722C"/>
  <w15:chartTrackingRefBased/>
  <w15:docId w15:val="{BB17AC69-F628-432D-B640-C28955BF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F3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71F3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71F3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71F3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71F3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71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3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71F3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71F3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71F3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71F3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71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F3B"/>
    <w:rPr>
      <w:rFonts w:eastAsiaTheme="majorEastAsia" w:cstheme="majorBidi"/>
      <w:color w:val="272727" w:themeColor="text1" w:themeTint="D8"/>
    </w:rPr>
  </w:style>
  <w:style w:type="paragraph" w:styleId="Title">
    <w:name w:val="Title"/>
    <w:basedOn w:val="Normal"/>
    <w:next w:val="Normal"/>
    <w:link w:val="TitleChar"/>
    <w:uiPriority w:val="10"/>
    <w:qFormat/>
    <w:rsid w:val="00971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F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F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1F3B"/>
    <w:rPr>
      <w:i/>
      <w:iCs/>
      <w:color w:val="404040" w:themeColor="text1" w:themeTint="BF"/>
    </w:rPr>
  </w:style>
  <w:style w:type="paragraph" w:styleId="ListParagraph">
    <w:name w:val="List Paragraph"/>
    <w:basedOn w:val="Normal"/>
    <w:uiPriority w:val="34"/>
    <w:qFormat/>
    <w:rsid w:val="00971F3B"/>
    <w:pPr>
      <w:ind w:left="720"/>
      <w:contextualSpacing/>
    </w:pPr>
  </w:style>
  <w:style w:type="character" w:styleId="IntenseEmphasis">
    <w:name w:val="Intense Emphasis"/>
    <w:basedOn w:val="DefaultParagraphFont"/>
    <w:uiPriority w:val="21"/>
    <w:qFormat/>
    <w:rsid w:val="00971F3B"/>
    <w:rPr>
      <w:i/>
      <w:iCs/>
      <w:color w:val="365F91" w:themeColor="accent1" w:themeShade="BF"/>
    </w:rPr>
  </w:style>
  <w:style w:type="paragraph" w:styleId="IntenseQuote">
    <w:name w:val="Intense Quote"/>
    <w:basedOn w:val="Normal"/>
    <w:next w:val="Normal"/>
    <w:link w:val="IntenseQuoteChar"/>
    <w:uiPriority w:val="30"/>
    <w:qFormat/>
    <w:rsid w:val="00971F3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71F3B"/>
    <w:rPr>
      <w:i/>
      <w:iCs/>
      <w:color w:val="365F91" w:themeColor="accent1" w:themeShade="BF"/>
    </w:rPr>
  </w:style>
  <w:style w:type="character" w:styleId="IntenseReference">
    <w:name w:val="Intense Reference"/>
    <w:basedOn w:val="DefaultParagraphFont"/>
    <w:uiPriority w:val="32"/>
    <w:qFormat/>
    <w:rsid w:val="00971F3B"/>
    <w:rPr>
      <w:b/>
      <w:bCs/>
      <w:smallCaps/>
      <w:color w:val="365F91" w:themeColor="accent1" w:themeShade="BF"/>
      <w:spacing w:val="5"/>
    </w:rPr>
  </w:style>
  <w:style w:type="character" w:styleId="Hyperlink">
    <w:name w:val="Hyperlink"/>
    <w:basedOn w:val="DefaultParagraphFont"/>
    <w:uiPriority w:val="99"/>
    <w:unhideWhenUsed/>
    <w:rsid w:val="00971F3B"/>
    <w:rPr>
      <w:color w:val="0000FF" w:themeColor="hyperlink"/>
      <w:u w:val="single"/>
    </w:rPr>
  </w:style>
  <w:style w:type="character" w:styleId="UnresolvedMention">
    <w:name w:val="Unresolved Mention"/>
    <w:basedOn w:val="DefaultParagraphFont"/>
    <w:uiPriority w:val="99"/>
    <w:semiHidden/>
    <w:unhideWhenUsed/>
    <w:rsid w:val="00971F3B"/>
    <w:rPr>
      <w:color w:val="605E5C"/>
      <w:shd w:val="clear" w:color="auto" w:fill="E1DFDD"/>
    </w:rPr>
  </w:style>
  <w:style w:type="paragraph" w:styleId="NoSpacing">
    <w:name w:val="No Spacing"/>
    <w:uiPriority w:val="1"/>
    <w:qFormat/>
    <w:rsid w:val="00971F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6763">
      <w:bodyDiv w:val="1"/>
      <w:marLeft w:val="0"/>
      <w:marRight w:val="0"/>
      <w:marTop w:val="0"/>
      <w:marBottom w:val="0"/>
      <w:divBdr>
        <w:top w:val="none" w:sz="0" w:space="0" w:color="auto"/>
        <w:left w:val="none" w:sz="0" w:space="0" w:color="auto"/>
        <w:bottom w:val="none" w:sz="0" w:space="0" w:color="auto"/>
        <w:right w:val="none" w:sz="0" w:space="0" w:color="auto"/>
      </w:divBdr>
    </w:div>
    <w:div w:id="11557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ecd-ilibrary.org/docserver/5k3tsj67l226-en.pdf?expires=1723810352&amp;id=id&amp;accname=guest&amp;checksum=A587B80C108E84C043EBEA5D5614E4C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Rahul Chandrawanshi</cp:lastModifiedBy>
  <cp:revision>2</cp:revision>
  <dcterms:created xsi:type="dcterms:W3CDTF">2024-08-16T12:16:00Z</dcterms:created>
  <dcterms:modified xsi:type="dcterms:W3CDTF">2024-08-26T17:52:00Z</dcterms:modified>
</cp:coreProperties>
</file>