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Submission Readiness Report</w:t>
      </w:r>
    </w:p>
    <w:p>
      <w:pPr>
        <w:spacing w:after="60" w:line="276"/>
        <w:jc w:val="center"/>
      </w:pPr>
      <w:r>
        <w:rPr>
          <w:rFonts w:ascii="Times New Roman" w:cs="Times New Roman" w:eastAsia="Times New Roman" w:hAnsi="Times New Roman"/>
          <w:i/>
          <w:iCs/>
          <w:sz w:val="22"/>
          <w:szCs w:val="22"/>
        </w:rPr>
        <w:t xml:space="preserve">Aligning cybersecurity investment with business-impact risk: A knowledge-based AI decision-support model evaluated on real-world incident data</w:t>
      </w:r>
    </w:p>
    <w:p>
      <w:pPr>
        <w:spacing w:after="240" w:line="276"/>
        <w:jc w:val="center"/>
      </w:pPr>
      <w:r>
        <w:rPr>
          <w:rFonts w:ascii="Times New Roman" w:cs="Times New Roman" w:eastAsia="Times New Roman" w:hAnsi="Times New Roman"/>
          <w:sz w:val="20"/>
          <w:szCs w:val="20"/>
        </w:rPr>
        <w:t xml:space="preserve">Author: Rahul Chandra Nandagiri  |  Target journal: Knowledge-Based Systems (Elsevier; SJR 2025 Q1)  |  Article type: Short Communication  |  Report date: 23 October 2026 (updated 24 October 2026)</w:t>
      </w:r>
    </w:p>
    <w:p>
      <w:pPr>
        <w:keepNext w:val="false"/>
        <w:spacing w:after="100" w:before="0" w:line="276"/>
        <w:jc w:val="left"/>
      </w:pPr>
      <w:r>
        <w:rPr>
          <w:rFonts w:ascii="Times New Roman" w:cs="Times New Roman" w:eastAsia="Times New Roman" w:hAnsi="Times New Roman"/>
          <w:sz w:val="24"/>
          <w:szCs w:val="24"/>
        </w:rPr>
        <w:t xml:space="preserve">This report gives the seven outputs required by the DBA 802 "Final Prompt" (journal template compliance and final manuscript editing). Every check marked Pass was actually performed. Items that need the author are marked Author or Check and listed in Section 6.</w:t>
      </w:r>
    </w:p>
    <w:p>
      <w:pPr>
        <w:pStyle w:val="Heading1"/>
        <w:keepNext/>
        <w:spacing w:after="80" w:before="280" w:line="276"/>
      </w:pPr>
      <w:r>
        <w:rPr>
          <w:rFonts w:ascii="Times New Roman" w:cs="Times New Roman" w:eastAsia="Times New Roman" w:hAnsi="Times New Roman"/>
          <w:b/>
          <w:bCs/>
          <w:sz w:val="26"/>
          <w:szCs w:val="26"/>
        </w:rPr>
        <w:t xml:space="preserve">1. Revised journal-formatted manuscript and submission package</w:t>
      </w:r>
    </w:p>
    <w:p>
      <w:pPr>
        <w:pStyle w:val="ListParagraph"/>
        <w:numPr>
          <w:ilvl w:val="0"/>
          <w:numId w:val="2"/>
        </w:numPr>
        <w:spacing w:after="60" w:line="276"/>
      </w:pPr>
      <w:r>
        <w:rPr>
          <w:rFonts w:ascii="Times New Roman" w:cs="Times New Roman" w:eastAsia="Times New Roman" w:hAnsi="Times New Roman"/>
          <w:b/>
          <w:bCs/>
          <w:sz w:val="22"/>
          <w:szCs w:val="22"/>
        </w:rPr>
        <w:t xml:space="preserve">Manuscript.docx</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Manuscript.pdf</w:t>
      </w:r>
      <w:r>
        <w:rPr>
          <w:rFonts w:ascii="Times New Roman" w:cs="Times New Roman" w:eastAsia="Times New Roman" w:hAnsi="Times New Roman"/>
          <w:sz w:val="22"/>
          <w:szCs w:val="22"/>
        </w:rPr>
        <w:t xml:space="preserve"> – the paper in a regular reading layout (1.15 line spacing, no line numbers, 11 pages). The journal received the same text in its review layout (double spacing, continuous line numbers).</w:t>
      </w:r>
    </w:p>
    <w:p>
      <w:pPr>
        <w:pStyle w:val="ListParagraph"/>
        <w:numPr>
          <w:ilvl w:val="0"/>
          <w:numId w:val="2"/>
        </w:numPr>
        <w:spacing w:after="60" w:line="276"/>
      </w:pPr>
      <w:r>
        <w:rPr>
          <w:rFonts w:ascii="Times New Roman" w:cs="Times New Roman" w:eastAsia="Times New Roman" w:hAnsi="Times New Roman"/>
          <w:b/>
          <w:bCs/>
          <w:sz w:val="22"/>
          <w:szCs w:val="22"/>
        </w:rPr>
        <w:t xml:space="preserve">Highlights.docx</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Graphical_abstract.png/.pdf</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Figure_1.png/.pdf</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Figure_2.png/.pdf</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Table_1.csv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Table_2.csv</w:t>
      </w:r>
      <w:r>
        <w:rPr>
          <w:rFonts w:ascii="Times New Roman" w:cs="Times New Roman" w:eastAsia="Times New Roman" w:hAnsi="Times New Roman"/>
          <w:sz w:val="22"/>
          <w:szCs w:val="22"/>
        </w:rPr>
        <w:t xml:space="preserve">.</w:t>
      </w:r>
    </w:p>
    <w:p>
      <w:pPr>
        <w:pStyle w:val="ListParagraph"/>
        <w:numPr>
          <w:ilvl w:val="0"/>
          <w:numId w:val="2"/>
        </w:numPr>
        <w:spacing w:after="60" w:line="276"/>
      </w:pPr>
      <w:r>
        <w:rPr>
          <w:rFonts w:ascii="Times New Roman" w:cs="Times New Roman" w:eastAsia="Times New Roman" w:hAnsi="Times New Roman"/>
          <w:b/>
          <w:bCs/>
          <w:sz w:val="22"/>
          <w:szCs w:val="22"/>
        </w:rPr>
        <w:t xml:space="preserve">Supplementary_Material.docx</w:t>
      </w:r>
      <w:r>
        <w:rPr>
          <w:rFonts w:ascii="Times New Roman" w:cs="Times New Roman" w:eastAsia="Times New Roman" w:hAnsi="Times New Roman"/>
          <w:sz w:val="22"/>
          <w:szCs w:val="22"/>
        </w:rPr>
        <w:t xml:space="preserve"> (Tables S1–S10) and </w:t>
      </w:r>
      <w:r>
        <w:rPr>
          <w:rFonts w:ascii="Times New Roman" w:cs="Times New Roman" w:eastAsia="Times New Roman" w:hAnsi="Times New Roman"/>
          <w:b/>
          <w:bCs/>
          <w:sz w:val="22"/>
          <w:szCs w:val="22"/>
        </w:rPr>
        <w:t xml:space="preserve">Supporting_Data_and_Code.zip</w:t>
      </w:r>
      <w:r>
        <w:rPr>
          <w:rFonts w:ascii="Times New Roman" w:cs="Times New Roman" w:eastAsia="Times New Roman" w:hAnsi="Times New Roman"/>
          <w:sz w:val="22"/>
          <w:szCs w:val="22"/>
        </w:rPr>
        <w:t xml:space="preserve"> (code, all result tables, figures, analysis cohort, pinned VCDB archive with license notice).</w:t>
      </w:r>
    </w:p>
    <w:p>
      <w:pPr>
        <w:pStyle w:val="ListParagraph"/>
        <w:numPr>
          <w:ilvl w:val="0"/>
          <w:numId w:val="2"/>
        </w:numPr>
        <w:spacing w:after="60" w:line="276"/>
      </w:pPr>
      <w:r>
        <w:rPr>
          <w:rFonts w:ascii="Times New Roman" w:cs="Times New Roman" w:eastAsia="Times New Roman" w:hAnsi="Times New Roman"/>
          <w:b/>
          <w:bCs/>
          <w:sz w:val="22"/>
          <w:szCs w:val="22"/>
        </w:rPr>
        <w:t xml:space="preserve">Cover_Letter.docx</w:t>
      </w:r>
      <w:r>
        <w:rPr>
          <w:rFonts w:ascii="Times New Roman" w:cs="Times New Roman" w:eastAsia="Times New Roman" w:hAnsi="Times New Roman"/>
          <w:sz w:val="22"/>
          <w:szCs w:val="22"/>
        </w:rPr>
        <w:t xml:space="preserve"> for the editor.</w:t>
      </w:r>
    </w:p>
    <w:p>
      <w:pPr>
        <w:pStyle w:val="ListParagraph"/>
        <w:numPr>
          <w:ilvl w:val="0"/>
          <w:numId w:val="2"/>
        </w:numPr>
        <w:spacing w:after="60" w:line="276"/>
      </w:pPr>
      <w:r>
        <w:rPr>
          <w:rFonts w:ascii="Times New Roman" w:cs="Times New Roman" w:eastAsia="Times New Roman" w:hAnsi="Times New Roman"/>
          <w:b/>
          <w:bCs/>
          <w:sz w:val="22"/>
          <w:szCs w:val="22"/>
        </w:rPr>
        <w:t xml:space="preserve">GitHub repository</w:t>
      </w:r>
      <w:r>
        <w:rPr>
          <w:rFonts w:ascii="Times New Roman" w:cs="Times New Roman" w:eastAsia="Times New Roman" w:hAnsi="Times New Roman"/>
          <w:sz w:val="22"/>
          <w:szCs w:val="22"/>
        </w:rPr>
        <w:t xml:space="preserve"> (fixed and pushed): https://github.com/rahulchandranandagiri/cybersecurity-investment-business-performance</w:t>
      </w:r>
    </w:p>
    <w:p>
      <w:pPr>
        <w:pStyle w:val="Heading1"/>
        <w:keepNext/>
        <w:spacing w:after="80" w:before="280" w:line="276"/>
      </w:pPr>
      <w:r>
        <w:rPr>
          <w:rFonts w:ascii="Times New Roman" w:cs="Times New Roman" w:eastAsia="Times New Roman" w:hAnsi="Times New Roman"/>
          <w:b/>
          <w:bCs/>
          <w:sz w:val="26"/>
          <w:szCs w:val="26"/>
        </w:rPr>
        <w:t xml:space="preserve">2. Journal template compliance checklist</w:t>
      </w:r>
    </w:p>
    <w:p>
      <w:pPr>
        <w:keepNext w:val="false"/>
        <w:spacing w:after="100" w:before="0" w:line="276"/>
        <w:jc w:val="left"/>
      </w:pPr>
      <w:r>
        <w:rPr>
          <w:rFonts w:ascii="Times New Roman" w:cs="Times New Roman" w:eastAsia="Times New Roman" w:hAnsi="Times New Roman"/>
          <w:sz w:val="24"/>
          <w:szCs w:val="24"/>
        </w:rPr>
        <w:t xml:space="preserve">Source of requirements: Knowledge-Based Systems Guide for Authors (PDF posted on the course dashboard, 23 October 2026) and the accepted reference paper (KNOSYS_116815), used for presentation style only.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300"/>
        <w:gridCol w:w="700"/>
        <w:gridCol w:w="5360"/>
      </w:tblGrid>
      <w:tr>
        <w:trPr>
          <w:cantSplit/>
          <w:tblHeader/>
        </w:trPr>
        <w:tc>
          <w:tcPr>
            <w:tcW w:type="dxa" w:w="330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bCs/>
                <w:sz w:val="17"/>
                <w:szCs w:val="17"/>
              </w:rPr>
              <w:t xml:space="preserve">Requirement</w:t>
            </w:r>
          </w:p>
        </w:tc>
        <w:tc>
          <w:tcPr>
            <w:tcW w:type="dxa" w:w="70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7"/>
                <w:szCs w:val="17"/>
              </w:rPr>
              <w:t xml:space="preserve">Status</w:t>
            </w:r>
          </w:p>
        </w:tc>
        <w:tc>
          <w:tcPr>
            <w:tcW w:type="dxa" w:w="536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7"/>
                <w:szCs w:val="17"/>
              </w:rPr>
              <w:t xml:space="preserve">Evidence / note</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Article type: Short Communication (≤10 double-spaced pages incl. tables and figures)</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Check</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In the double-spaced file sent to the journal, the main text with both tables and figures runs from page 3 to page 12, about 10 pages. That file is 17 pages because it also holds the title page, abstract, declarations and 36 references. The guide does not say whether those count, so this item is flagged in Section 6.</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Editable source file (.docx), single-column layout, no strikethrough/underline</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Manuscript.docx (Word), single column, US Letter, 12 pt Times New Roman, page numbers. The file sent to the journal uses the review layout (double spacing, continuous line numbers). The copy posted on the course page and GitHub uses a regular reading layout (1.15 line spacing, no line numbers, 11 pages) with identical text, tables, figures and references.</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Title page: concise title, author names, affiliation with superscript letter, corresponding author with e-mail</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Present. *The postal address of the affiliation must be confirmed by the author (Section 6).</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Abstract ≤250 words, stand-alone, no references, abbreviations defined</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245 words; KB-CIDS, BIRR and VERIS are defined at first use.</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Keywords: 1–7, English, no "and/of" compounds</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5 keywords (the Elsevier submission form accepts at most 5).</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Highlights: 3–5 bullets, ≤85 characters each, separate editable file with "highlights" in the name</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Highlights.docx; 5 bullets of 75–79 characters.</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Math as editable text, displayed equations numbered, variables in italics, solidus for small fractions</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Seven Office Math equations, Eqs. (1)–(7); exponent 1/(β+1) uses a solidus.</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Tables: editable, captioned, cited, numbered, notes below, no vertical rules or shading</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Tables 1–2 are Word tables with horizontal rules only; Tables S1–S10 in the supplementary file.</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Figures: separate files with logical names, cited in order, captions, adequate resolution, accessible color</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Figure_1 and Figure_2 as 600 dpi PNG plus vector PDF; color-blind-safe palette; also embedded in the manuscript for review.</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Generative AI and figures policy</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Figures are data visualizations generated by the analysis code from the data; captions state this. No generative image tools used.</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Section numbering (1, 1.1, ...); abstract not numbered</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Sections 1–6 with numbered subsections.</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References: numbered in citation order, [n] in text, all real, DOIs, journal abbreviations, every item cited</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36 references, all cited in order (automated check); dataset tagged [dataset]; see Section 5.</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Research data (Option C): deposit, cite and link data; data statement</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Public VCDB data pinned to a commit and cited; code and derived data on GitHub; data availability section included.</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Declaration of competing interest</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Statement included. *The Elsevier declarations tool must also be completed online at submission (author action).</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Funding statement</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Standard "no specific grant" sentence.</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CRediT author contribution statement</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Included.</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Declaration of generative AI use (separate section before references)</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Included with the required wording.</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Graphical abstract</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Not mandated by the KBS guide but required by the course; Graphical_abstract.png (2385×984 px, 300 dpi) and PDF provided.</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Supplementary material cited with captions</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Supplementary_Material.docx (Tables S1–S10) cited in Sections 2.2, 4.1 and 4.2.</w:t>
            </w:r>
          </w:p>
        </w:tc>
      </w:tr>
      <w:tr>
        <w:trPr>
          <w:cantSplit/>
          <w:tblHeader w:val="off"/>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Language: one variety of English, inclusive language</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c>
          <w:tcPr>
            <w:tcW w:type="dxa" w:w="53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American English throughout; neutral language.</w:t>
            </w:r>
          </w:p>
        </w:tc>
      </w:tr>
      <w:tr>
        <w:trPr>
          <w:cantSplit/>
          <w:tblHeader w:val="off"/>
        </w:trPr>
        <w:tc>
          <w:tcPr>
            <w:tcW w:type="dxa" w:w="330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Submission declaration (original, not under consideration elsewhere)</w:t>
            </w:r>
          </w:p>
        </w:tc>
        <w:tc>
          <w:tcPr>
            <w:tcW w:type="dxa" w:w="70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Author</w:t>
            </w:r>
          </w:p>
        </w:tc>
        <w:tc>
          <w:tcPr>
            <w:tcW w:type="dxa" w:w="536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Stated in the cover letter; the author must confirm when submitting.</w:t>
            </w:r>
          </w:p>
        </w:tc>
      </w:tr>
    </w:tbl>
    <w:p>
      <w:pPr>
        <w:pStyle w:val="Heading1"/>
        <w:keepNext/>
        <w:spacing w:after="80" w:before="280" w:line="276"/>
      </w:pPr>
      <w:r>
        <w:rPr>
          <w:rFonts w:ascii="Times New Roman" w:cs="Times New Roman" w:eastAsia="Times New Roman" w:hAnsi="Times New Roman"/>
          <w:b/>
          <w:bCs/>
          <w:sz w:val="26"/>
          <w:szCs w:val="26"/>
        </w:rPr>
        <w:t xml:space="preserve">3. Summary of scientific and editorial improvements</w:t>
      </w:r>
    </w:p>
    <w:p>
      <w:pPr>
        <w:pStyle w:val="ListParagraph"/>
        <w:numPr>
          <w:ilvl w:val="0"/>
          <w:numId w:val="2"/>
        </w:numPr>
        <w:spacing w:after="60" w:line="276"/>
      </w:pPr>
      <w:r>
        <w:rPr>
          <w:rFonts w:ascii="Times New Roman" w:cs="Times New Roman" w:eastAsia="Times New Roman" w:hAnsi="Times New Roman"/>
          <w:b/>
          <w:bCs/>
          <w:sz w:val="22"/>
          <w:szCs w:val="22"/>
        </w:rPr>
        <w:t xml:space="preserve">From an empty repository to a working study.</w:t>
      </w:r>
      <w:r>
        <w:rPr>
          <w:rFonts w:ascii="Times New Roman" w:cs="Times New Roman" w:eastAsia="Times New Roman" w:hAnsi="Times New Roman"/>
          <w:sz w:val="22"/>
          <w:szCs w:val="22"/>
        </w:rPr>
        <w:t xml:space="preserve"> Every module in the GitHub repository was 0 bytes. It now holds a complete, deterministic pipeline (data download with checksum, cohort rules, knowledge base, six models, decision layer, evaluation, figures). One command, run_experiment.py, regenerates every number, and the work went up in five commits.</w:t>
      </w:r>
    </w:p>
    <w:p>
      <w:pPr>
        <w:pStyle w:val="ListParagraph"/>
        <w:numPr>
          <w:ilvl w:val="0"/>
          <w:numId w:val="2"/>
        </w:numPr>
        <w:spacing w:after="60" w:line="276"/>
      </w:pPr>
      <w:r>
        <w:rPr>
          <w:rFonts w:ascii="Times New Roman" w:cs="Times New Roman" w:eastAsia="Times New Roman" w:hAnsi="Times New Roman"/>
          <w:b/>
          <w:bCs/>
          <w:sz w:val="22"/>
          <w:szCs w:val="22"/>
        </w:rPr>
        <w:t xml:space="preserve">From a conceptual framework to a tested model.</w:t>
      </w:r>
      <w:r>
        <w:rPr>
          <w:rFonts w:ascii="Times New Roman" w:cs="Times New Roman" w:eastAsia="Times New Roman" w:hAnsi="Times New Roman"/>
          <w:sz w:val="22"/>
          <w:szCs w:val="22"/>
        </w:rPr>
        <w:t xml:space="preserve"> Research Paper 1 argued conceptually that cybersecurity value depends on aligning investment with business exposure. KB-CIDS turns that idea into a computable knowledge-based decision model and tests it out of time on 9,284 real incidents.</w:t>
      </w:r>
    </w:p>
    <w:p>
      <w:pPr>
        <w:pStyle w:val="ListParagraph"/>
        <w:numPr>
          <w:ilvl w:val="0"/>
          <w:numId w:val="2"/>
        </w:numPr>
        <w:spacing w:after="60" w:line="276"/>
      </w:pPr>
      <w:r>
        <w:rPr>
          <w:rFonts w:ascii="Times New Roman" w:cs="Times New Roman" w:eastAsia="Times New Roman" w:hAnsi="Times New Roman"/>
          <w:b/>
          <w:bCs/>
          <w:sz w:val="22"/>
          <w:szCs w:val="22"/>
        </w:rPr>
        <w:t xml:space="preserve">Research gap and novelty.</w:t>
      </w:r>
      <w:r>
        <w:rPr>
          <w:rFonts w:ascii="Times New Roman" w:cs="Times New Roman" w:eastAsia="Times New Roman" w:hAnsi="Times New Roman"/>
          <w:sz w:val="22"/>
          <w:szCs w:val="22"/>
        </w:rPr>
        <w:t xml:space="preserve"> The introduction now separates analytical investment models from data-driven cyber-risk prediction and shows that the two streams are rarely linked or validated out of time. The three contributions are stated without overclaiming.</w:t>
      </w:r>
    </w:p>
    <w:p>
      <w:pPr>
        <w:pStyle w:val="ListParagraph"/>
        <w:numPr>
          <w:ilvl w:val="0"/>
          <w:numId w:val="2"/>
        </w:numPr>
        <w:spacing w:after="60" w:line="276"/>
      </w:pPr>
      <w:r>
        <w:rPr>
          <w:rFonts w:ascii="Times New Roman" w:cs="Times New Roman" w:eastAsia="Times New Roman" w:hAnsi="Times New Roman"/>
          <w:b/>
          <w:bCs/>
          <w:sz w:val="22"/>
          <w:szCs w:val="22"/>
        </w:rPr>
        <w:t xml:space="preserve">Methodology and equations.</w:t>
      </w:r>
      <w:r>
        <w:rPr>
          <w:rFonts w:ascii="Times New Roman" w:cs="Times New Roman" w:eastAsia="Times New Roman" w:hAnsi="Times New Roman"/>
          <w:sz w:val="22"/>
          <w:szCs w:val="22"/>
        </w:rPr>
        <w:t xml:space="preserve"> The business-impact outcome, Gordon–Loeb response, budget program, closed-form allocation, weighting scheme and evaluation metric are given as Eqs. (1)–(7) and match the code. Algorithm 1 summarizes the procedure.</w:t>
      </w:r>
    </w:p>
    <w:p>
      <w:pPr>
        <w:pStyle w:val="ListParagraph"/>
        <w:numPr>
          <w:ilvl w:val="0"/>
          <w:numId w:val="2"/>
        </w:numPr>
        <w:spacing w:after="60" w:line="276"/>
      </w:pPr>
      <w:r>
        <w:rPr>
          <w:rFonts w:ascii="Times New Roman" w:cs="Times New Roman" w:eastAsia="Times New Roman" w:hAnsi="Times New Roman"/>
          <w:b/>
          <w:bCs/>
          <w:sz w:val="22"/>
          <w:szCs w:val="22"/>
        </w:rPr>
        <w:t xml:space="preserve">Experimental rigour.</w:t>
      </w:r>
      <w:r>
        <w:rPr>
          <w:rFonts w:ascii="Times New Roman" w:cs="Times New Roman" w:eastAsia="Times New Roman" w:hAnsi="Times New Roman"/>
          <w:sz w:val="22"/>
          <w:szCs w:val="22"/>
        </w:rPr>
        <w:t xml:space="preserve"> Development to 2016, evaluation from 2017. Hyperparameters were tuned on an inner validation split only. There are 6 predictive and 7 decision baselines plus an oracle, bootstrap confidence intervals, paired tests, an ablation, 6 robustness specifications and 9 parameter settings.</w:t>
      </w:r>
    </w:p>
    <w:p>
      <w:pPr>
        <w:pStyle w:val="ListParagraph"/>
        <w:numPr>
          <w:ilvl w:val="0"/>
          <w:numId w:val="2"/>
        </w:numPr>
        <w:spacing w:after="60" w:line="276"/>
      </w:pPr>
      <w:r>
        <w:rPr>
          <w:rFonts w:ascii="Times New Roman" w:cs="Times New Roman" w:eastAsia="Times New Roman" w:hAnsi="Times New Roman"/>
          <w:b/>
          <w:bCs/>
          <w:sz w:val="22"/>
          <w:szCs w:val="22"/>
        </w:rPr>
        <w:t xml:space="preserve">Honest interpretation.</w:t>
      </w:r>
      <w:r>
        <w:rPr>
          <w:rFonts w:ascii="Times New Roman" w:cs="Times New Roman" w:eastAsia="Times New Roman" w:hAnsi="Times New Roman"/>
          <w:sz w:val="22"/>
          <w:szCs w:val="22"/>
        </w:rPr>
        <w:t xml:space="preserve"> A negative result (AI imputation did not transfer out of time) is reported and explained rather than hidden. Limitations cover data selection, the proxy outcome and the expert-defined rules.</w:t>
      </w:r>
    </w:p>
    <w:p>
      <w:pPr>
        <w:pStyle w:val="ListParagraph"/>
        <w:numPr>
          <w:ilvl w:val="0"/>
          <w:numId w:val="2"/>
        </w:numPr>
        <w:spacing w:after="60" w:line="276"/>
      </w:pPr>
      <w:r>
        <w:rPr>
          <w:rFonts w:ascii="Times New Roman" w:cs="Times New Roman" w:eastAsia="Times New Roman" w:hAnsi="Times New Roman"/>
          <w:b/>
          <w:bCs/>
          <w:sz w:val="22"/>
          <w:szCs w:val="22"/>
        </w:rPr>
        <w:t xml:space="preserve">Business implications.</w:t>
      </w:r>
      <w:r>
        <w:rPr>
          <w:rFonts w:ascii="Times New Roman" w:cs="Times New Roman" w:eastAsia="Times New Roman" w:hAnsi="Times New Roman"/>
          <w:sz w:val="22"/>
          <w:szCs w:val="22"/>
        </w:rPr>
        <w:t xml:space="preserve"> Section 4.3 turns the findings into three managerial actions and an auditable rationale example (small healthcare organizations).</w:t>
      </w:r>
    </w:p>
    <w:p>
      <w:pPr>
        <w:pStyle w:val="ListParagraph"/>
        <w:numPr>
          <w:ilvl w:val="0"/>
          <w:numId w:val="2"/>
        </w:numPr>
        <w:spacing w:after="60" w:line="276"/>
      </w:pPr>
      <w:r>
        <w:rPr>
          <w:rFonts w:ascii="Times New Roman" w:cs="Times New Roman" w:eastAsia="Times New Roman" w:hAnsi="Times New Roman"/>
          <w:b/>
          <w:bCs/>
          <w:sz w:val="22"/>
          <w:szCs w:val="22"/>
        </w:rPr>
        <w:t xml:space="preserve">Language and format.</w:t>
      </w:r>
      <w:r>
        <w:rPr>
          <w:rFonts w:ascii="Times New Roman" w:cs="Times New Roman" w:eastAsia="Times New Roman" w:hAnsi="Times New Roman"/>
          <w:sz w:val="22"/>
          <w:szCs w:val="22"/>
        </w:rPr>
        <w:t xml:space="preserve"> The text is concise, uses American English and consistent terms (MBI, BIRR, KB-CIDS) and follows the KBS reference-style example. The structure mirrors the accepted reference paper (introduction, model, design, results, limitations, conclusion, declarations).</w:t>
      </w:r>
    </w:p>
    <w:p>
      <w:pPr>
        <w:pStyle w:val="ListParagraph"/>
        <w:numPr>
          <w:ilvl w:val="0"/>
          <w:numId w:val="2"/>
        </w:numPr>
        <w:spacing w:after="60" w:line="276"/>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sz w:val="22"/>
          <w:szCs w:val="22"/>
        </w:rPr>
        <w:t xml:space="preserve"> 36 references, every one checked against Crossref/OpenAlex/publisher records. 31 come from Q1 journals published by Elsevier (ScienceDirect), IEEE and MDPI.</w:t>
      </w:r>
    </w:p>
    <w:p>
      <w:pPr>
        <w:pStyle w:val="Heading1"/>
        <w:keepNext/>
        <w:spacing w:after="80" w:before="280" w:line="276"/>
      </w:pPr>
      <w:r>
        <w:rPr>
          <w:rFonts w:ascii="Times New Roman" w:cs="Times New Roman" w:eastAsia="Times New Roman" w:hAnsi="Times New Roman"/>
          <w:b/>
          <w:bCs/>
          <w:sz w:val="26"/>
          <w:szCs w:val="26"/>
        </w:rPr>
        <w:t xml:space="preserve">4. Verification of the two figures and two tables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2400"/>
        <w:gridCol w:w="4660"/>
        <w:gridCol w:w="900"/>
      </w:tblGrid>
      <w:tr>
        <w:trPr>
          <w:cantSplit/>
          <w:tblHeader/>
        </w:trPr>
        <w:tc>
          <w:tcPr>
            <w:tcW w:type="dxa" w:w="140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bCs/>
                <w:sz w:val="17"/>
                <w:szCs w:val="17"/>
              </w:rPr>
              <w:t xml:space="preserve">Item</w:t>
            </w:r>
          </w:p>
        </w:tc>
        <w:tc>
          <w:tcPr>
            <w:tcW w:type="dxa" w:w="240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7"/>
                <w:szCs w:val="17"/>
              </w:rPr>
              <w:t xml:space="preserve">Generated by</w:t>
            </w:r>
          </w:p>
        </w:tc>
        <w:tc>
          <w:tcPr>
            <w:tcW w:type="dxa" w:w="466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7"/>
                <w:szCs w:val="17"/>
              </w:rPr>
              <w:t xml:space="preserve">Checks performed</w:t>
            </w:r>
          </w:p>
        </w:tc>
        <w:tc>
          <w:tcPr>
            <w:tcW w:type="dxa" w:w="90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7"/>
                <w:szCs w:val="17"/>
              </w:rPr>
              <w:t xml:space="preserve">Result</w:t>
            </w:r>
          </w:p>
        </w:tc>
      </w:tr>
      <w:tr>
        <w:trPr>
          <w:cantSplit/>
          <w:tblHeader w:val="off"/>
        </w:trPr>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Fig. 1</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explainability.figure_1 ← S9 allocations</w:t>
            </w:r>
          </w:p>
        </w:tc>
        <w:tc>
          <w:tcPr>
            <w:tcW w:type="dxa" w:w="46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600 dpi PNG (5179×3155 px) + PDF; 3 panels share axes; values ≥15% labeled; color bar and family legend; caption matches content</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r>
      <w:tr>
        <w:trPr>
          <w:cantSplit/>
          <w:tblHeader w:val="off"/>
        </w:trPr>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Fig. 2</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explainability.figure_2 ← S4 budget curve, S2 profile scores</w:t>
            </w:r>
          </w:p>
        </w:tc>
        <w:tc>
          <w:tcPr>
            <w:tcW w:type="dxa" w:w="46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600 dpi PNG (4531×2074 px) + PDF; 95% CI band; equal-allocation reference; legends do not overlap data</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r>
      <w:tr>
        <w:trPr>
          <w:cantSplit/>
          <w:tblHeader w:val="off"/>
        </w:trPr>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Table 1</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Table_1_predictive_validity.csv</w:t>
            </w:r>
          </w:p>
        </w:tc>
        <w:tc>
          <w:tcPr>
            <w:tcW w:type="dxa" w:w="46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All cells exported directly from the results file (no manual transcription); 2,000 bootstrap resamples; paired AUC tests</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r>
      <w:tr>
        <w:trPr>
          <w:cantSplit/>
          <w:tblHeader w:val="off"/>
        </w:trPr>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Table 2</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Table_2_decision_performance.csv</w:t>
            </w:r>
          </w:p>
        </w:tc>
        <w:tc>
          <w:tcPr>
            <w:tcW w:type="dxa" w:w="46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All cells exported directly; 1,000-draw CIs; Wilcoxon tests across 18 profiles</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r>
      <w:tr>
        <w:trPr>
          <w:cantSplit/>
          <w:tblHeader w:val="off"/>
        </w:trPr>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Numbers in text</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paper/verify_manuscript.py</w:t>
            </w:r>
          </w:p>
        </w:tc>
        <w:tc>
          <w:tcPr>
            <w:tcW w:type="dxa" w:w="466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81/81 automated checks passed (limits, citations, every quoted number against the results files)</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r>
      <w:tr>
        <w:trPr>
          <w:cantSplit/>
          <w:tblHeader w:val="off"/>
        </w:trPr>
        <w:tc>
          <w:tcPr>
            <w:tcW w:type="dxa" w:w="140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7"/>
                <w:szCs w:val="17"/>
              </w:rPr>
              <w:t xml:space="preserve">Reproducibility</w:t>
            </w:r>
          </w:p>
        </w:tc>
        <w:tc>
          <w:tcPr>
            <w:tcW w:type="dxa" w:w="240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run_experiment.py on two library stacks</w:t>
            </w:r>
          </w:p>
        </w:tc>
        <w:tc>
          <w:tcPr>
            <w:tcW w:type="dxa" w:w="466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Identical point estimates (all Table 1 metrics, all BIRR values, Wilcoxon p-values, robustness and sensitivity tables) with numpy 2.5/pandas 3.0/scikit-learn 1.9 and with numpy 2.1/pandas 2.2/scikit-learn 1.5; bootstrap intervals differ only by Monte Carlo error</w:t>
            </w:r>
          </w:p>
        </w:tc>
        <w:tc>
          <w:tcPr>
            <w:tcW w:type="dxa" w:w="90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7"/>
                <w:szCs w:val="17"/>
              </w:rPr>
              <w:t xml:space="preserve">Pass</w:t>
            </w:r>
          </w:p>
        </w:tc>
      </w:tr>
    </w:tbl>
    <w:p>
      <w:pPr>
        <w:pStyle w:val="Heading1"/>
        <w:keepNext/>
        <w:spacing w:after="80" w:before="280" w:line="276"/>
      </w:pPr>
      <w:r>
        <w:rPr>
          <w:rFonts w:ascii="Times New Roman" w:cs="Times New Roman" w:eastAsia="Times New Roman" w:hAnsi="Times New Roman"/>
          <w:b/>
          <w:bCs/>
          <w:sz w:val="26"/>
          <w:szCs w:val="26"/>
        </w:rPr>
        <w:t xml:space="preserve">5. Reference and citation verification report</w:t>
      </w:r>
    </w:p>
    <w:p>
      <w:pPr>
        <w:keepNext w:val="false"/>
        <w:spacing w:after="100" w:before="0" w:line="276"/>
        <w:jc w:val="left"/>
      </w:pPr>
      <w:r>
        <w:rPr>
          <w:rFonts w:ascii="Times New Roman" w:cs="Times New Roman" w:eastAsia="Times New Roman" w:hAnsi="Times New Roman"/>
          <w:sz w:val="24"/>
          <w:szCs w:val="24"/>
        </w:rPr>
        <w:t xml:space="preserve">All 36 references were checked against bibliographic records (Crossref, OpenAlex, RePEc or the publisher/institutional record). Titles, authors, volumes, pages or article numbers and DOIs match. All 36 are cited in the text in numerical order of first appearance, and no citation points outside the list (automated check). </w:t>
      </w:r>
      <w:r>
        <w:rPr>
          <w:rFonts w:ascii="Times New Roman" w:cs="Times New Roman" w:eastAsia="Times New Roman" w:hAnsi="Times New Roman"/>
          <w:b/>
          <w:bCs/>
          <w:sz w:val="24"/>
          <w:szCs w:val="24"/>
        </w:rPr>
        <w:t xml:space="preserve">31 of 36 references come from Q1 journals of the three requested publishers: 21 Elsevier/ScienceDirect, 6 IEEE and 4 MDPI.</w:t>
      </w:r>
      <w:r>
        <w:rPr>
          <w:rFonts w:ascii="Times New Roman" w:cs="Times New Roman" w:eastAsia="Times New Roman" w:hAnsi="Times New Roman"/>
          <w:sz w:val="24"/>
          <w:szCs w:val="24"/>
        </w:rPr>
        <w:t xml:space="preserve"> Quartiles were checked on SCImago (SJR 2025, best quartile). The other five are kept because scientific integrity requires them: the foundational Gordon–Loeb model (ACM), the two standards the knowledge base is built on (CIS Controls v8, NIST CSF 2.0), the dataset (VCDB) and the software (scikit-learn).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1700"/>
        <w:gridCol w:w="820"/>
        <w:gridCol w:w="1900"/>
        <w:gridCol w:w="1250"/>
        <w:gridCol w:w="2170"/>
        <w:gridCol w:w="1000"/>
      </w:tblGrid>
      <w:tr>
        <w:trPr>
          <w:cantSplit/>
          <w:tblHeader/>
        </w:trPr>
        <w:tc>
          <w:tcPr>
            <w:tcW w:type="dxa" w:w="52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bCs/>
                <w:sz w:val="14"/>
                <w:szCs w:val="14"/>
              </w:rPr>
              <w:t xml:space="preserve">#</w:t>
            </w:r>
          </w:p>
        </w:tc>
        <w:tc>
          <w:tcPr>
            <w:tcW w:type="dxa" w:w="170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4"/>
                <w:szCs w:val="14"/>
              </w:rPr>
              <w:t xml:space="preserve">First author (year)</w:t>
            </w:r>
          </w:p>
        </w:tc>
        <w:tc>
          <w:tcPr>
            <w:tcW w:type="dxa" w:w="82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4"/>
                <w:szCs w:val="14"/>
              </w:rPr>
              <w:t xml:space="preserve">Publisher</w:t>
            </w:r>
          </w:p>
        </w:tc>
        <w:tc>
          <w:tcPr>
            <w:tcW w:type="dxa" w:w="190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4"/>
                <w:szCs w:val="14"/>
              </w:rPr>
              <w:t xml:space="preserve">Journal / type</w:t>
            </w:r>
          </w:p>
        </w:tc>
        <w:tc>
          <w:tcPr>
            <w:tcW w:type="dxa" w:w="125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4"/>
                <w:szCs w:val="14"/>
              </w:rPr>
              <w:t xml:space="preserve">SJR quartile</w:t>
            </w:r>
          </w:p>
        </w:tc>
        <w:tc>
          <w:tcPr>
            <w:tcW w:type="dxa" w:w="217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4"/>
                <w:szCs w:val="14"/>
              </w:rPr>
              <w:t xml:space="preserve">DOI / URL</w:t>
            </w:r>
          </w:p>
        </w:tc>
        <w:tc>
          <w:tcPr>
            <w:tcW w:type="dxa" w:w="1000"/>
            <w:tcBorders>
              <w:top w:val="single" w:color="000000" w:sz="8"/>
              <w:left w:val="none" w:color="FFFFFF" w:sz="0"/>
              <w:bottom w:val="single" w:color="000000" w:sz="4"/>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bCs/>
                <w:sz w:val="14"/>
                <w:szCs w:val="14"/>
              </w:rPr>
              <w:t xml:space="preserve">Verified via</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[1]</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Vial (2019)</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J. Strateg. Inf. Syst.</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10.1016/j.jsis.2019.01.003</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Crossref</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[2]</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Verhoef et al. (2021)</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J. Bus. Res.</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10.1016/j.jbusres.2019.09.022</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[3]</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Kamiya et al. (2021)</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J. Financ. Econ.</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10.1016/j.jfineco.2019.05.019</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Institutional repository</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[4]</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Bianchi &amp; Tosun (2021)</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Int. Rev. Financ. Anal.</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10.1016/j.irfa.2021.101795</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[5]</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Rodrigues et al. (2024)</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MDPI</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Future Internet</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10.3390/fi16060201</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[6]</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Eling &amp; Wirfs (2019)</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Eur. J. Oper. Res.</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10.1016/j.ejor.2018.07.021</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RePEc</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[7]</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Podrecca et al. (2022)</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Comput. Ind.</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10.1016/j.compind.2022.103744</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Crossref</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Hasan et al. (2021)</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J. Inf. Secur. Appl.</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10.1016/j.jisa.2020.102726</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Demek &amp; Kaplan (2023)</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Int. J. Account. Inf. Syst.</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10.1016/j.accinf.2023.100616</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[10]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Gordon &amp; Loeb (2002)</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ACM</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ACM Trans. Inf. Syst. Secur.</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n/a (foundational; not a target publisher)</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10.1145/581271.581274</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[11]</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Huang &amp; Behara (2013)</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Int. J. Prod. Econ.</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(2024)†</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10.1016/j.ijpe.2012.06.022</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RePEc</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[12]</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Nagurney &amp; Shukla (2017)</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Eur. J. Oper. Res.</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10.1016/j.ejor.2016.12.034</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[13]</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Simon &amp; Omar (2020)</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Eur. J. Oper. Res.</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10.1016/j.ejor.2019.09.017</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[14]</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Paul &amp; Wang (2019)</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Decis. Support Syst.</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10.1016/j.dss.2019.05.009</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[15]</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Chronopoulos et al. (2018)</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IEEE</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IEEE Access</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10.1109/ACCESS.2017.2773366</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[16]</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Brho et al. (2025)</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Int. J. Prod. Econ.</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(2024)†</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10.1016/j.ijpe.2024.109448</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Crossref</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[17]</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Fielder et al. (2016)</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Decis. Support Syst.</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10.1016/j.dss.2016.02.012</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Institutional repository</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[18]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Fernandez De Arroyabe et al. (2023)</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Comput. Secur.</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10.1016/j.cose.2022.102954</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Crossref</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[19]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Owoleso et al. (2026)</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MDPI</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J. Cybersecur. Priv.</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10.3390/jcp6050171</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[20]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Xu et al. (2018)</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IEEE</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IEEE Trans. Inf. Forensics Secur.</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10.1109/TIFS.2018.2834227</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[21]</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Hammouchi et al. (2023)</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IEEE</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IEEE Trans. Dependable Secure Comput.</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10.1109/TDSC.2022.3149208</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[22]</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Seh et al. (2020)</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MDPI</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Healthcare</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10.3390/healthcare8020133</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[23]</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Yankson et al. (2025)</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MDPI</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J. Cybersecur. Priv.</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10.3390/jcp5030070</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[24]</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Buczak &amp; Guven (2016)</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IEEE</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IEEE Commun. Surv. Tutor.</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10.1109/COMST.2015.2494502</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Crossref</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[25]</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Xin et al. (2018)</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IEEE</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IEEE Access</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10.1109/ACCESS.2018.2836950</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[26]</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Barredo Arrieta et al. (2020)</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Inf. Fusion</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10.1016/j.inffus.2019.12.012</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Crossref</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[27]</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Capuano et al. (2022)</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IEEE</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IEEE Access</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10.1109/ACCESS.2022.3204171</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[28]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Jia et al. (2018)</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Engineering</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10.1016/j.eng.2018.01.004</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[29]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Sarhan &amp; Spruit (2021)</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Knowl.-Based Syst.</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10.1016/j.knosys.2021.107524</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[30]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Zhao et al. (2022)</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Knowl.-Based Syst.</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10.1016/j.knosys.2021.108086</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[31]</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Moreno-Torres et al. (2012)</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Pattern Recognit.</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10.1016/j.patcog.2011.06.019</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[32]</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Beaman et al. (2021)</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Elsevier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Comput. Secur.</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Q1 (2025)</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10.1016/j.cose.2021.102490</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OpenAlex</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[33]</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Center for Internet Security (2021)</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CIS</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Standard</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n/a (standard used by the knowledge base)</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https://www.cisecurity.org/controls/v8</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Publisher web page</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[34]</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NIST (2024)</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NIST</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Standard</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n/a (standard used by the knowledge base)</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10.6028/NIST.CSWP.29</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DOI record</w:t>
            </w:r>
          </w:p>
        </w:tc>
      </w:tr>
      <w:tr>
        <w:trPr>
          <w:cantSplit/>
          <w:tblHeader w:val="off"/>
        </w:trPr>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[35]</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Verizon RISK Team (2026)</w:t>
            </w:r>
          </w:p>
        </w:tc>
        <w:tc>
          <w:tcPr>
            <w:tcW w:type="dxa" w:w="82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Verizon</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Dataset</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n/a (data source)</w:t>
            </w:r>
          </w:p>
        </w:tc>
        <w:tc>
          <w:tcPr>
            <w:tcW w:type="dxa" w:w="217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https://github.com/vz-risk/VCDB</w:t>
            </w:r>
          </w:p>
        </w:tc>
        <w:tc>
          <w:tcPr>
            <w:tcW w:type="dxa" w:w="1000"/>
            <w:tcBorders>
              <w:top w:val="none" w:color="FFFFFF" w:sz="0"/>
              <w:left w:val="none" w:color="FFFFFF" w:sz="0"/>
              <w:bottom w:val="none" w:color="FFFFFF" w:sz="0"/>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GitHub commit</w:t>
            </w:r>
          </w:p>
        </w:tc>
      </w:tr>
      <w:tr>
        <w:trPr>
          <w:cantSplit/>
          <w:tblHeader w:val="off"/>
        </w:trPr>
        <w:tc>
          <w:tcPr>
            <w:tcW w:type="dxa" w:w="52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14"/>
                <w:szCs w:val="14"/>
              </w:rPr>
              <w:t xml:space="preserve">[36]</w:t>
            </w:r>
          </w:p>
        </w:tc>
        <w:tc>
          <w:tcPr>
            <w:tcW w:type="dxa" w:w="170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Pedregosa et al. (2011)</w:t>
            </w:r>
          </w:p>
        </w:tc>
        <w:tc>
          <w:tcPr>
            <w:tcW w:type="dxa" w:w="82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JMLR</w:t>
            </w:r>
          </w:p>
        </w:tc>
        <w:tc>
          <w:tcPr>
            <w:tcW w:type="dxa" w:w="190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Software paper</w:t>
            </w:r>
          </w:p>
        </w:tc>
        <w:tc>
          <w:tcPr>
            <w:tcW w:type="dxa" w:w="125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n/a (software citation)</w:t>
            </w:r>
          </w:p>
        </w:tc>
        <w:tc>
          <w:tcPr>
            <w:tcW w:type="dxa" w:w="217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p>
        </w:tc>
        <w:tc>
          <w:tcPr>
            <w:tcW w:type="dxa" w:w="1000"/>
            <w:tcBorders>
              <w:top w:val="none" w:color="FFFFFF" w:sz="0"/>
              <w:left w:val="none" w:color="FFFFFF" w:sz="0"/>
              <w:bottom w:val="single" w:color="000000" w:sz="8"/>
              <w:right w:val="none" w:color="FFFFFF" w:sz="0"/>
            </w:tcBorders>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14"/>
                <w:szCs w:val="14"/>
              </w:rPr>
              <w:t xml:space="preserve">JMLR BibTeX record</w:t>
            </w:r>
          </w:p>
        </w:tc>
      </w:tr>
    </w:tbl>
    <w:p>
      <w:pPr>
        <w:spacing w:after="160" w:before="40" w:line="276"/>
      </w:pPr>
      <w:r>
        <w:rPr>
          <w:rFonts w:ascii="Times New Roman" w:cs="Times New Roman" w:eastAsia="Times New Roman" w:hAnsi="Times New Roman"/>
          <w:sz w:val="18"/>
          <w:szCs w:val="18"/>
        </w:rPr>
        <w:t xml:space="preserve">† SCImago’s 2025 page for IJPE could not be retrieved during this session; Q1 in all four categories in SJR 2024 (SCImago ID 19165). ‡ Best quartile: J. Cybersecur. Priv. is Q1 in Computer Science (misc.) and Q2 in Artificial Intelligence; Healthcare is Q1 in Leadership and Management and Q2 in its health categories. MDPI’s Mathematics and Systems journals were checked and excluded because they are Q2.</w:t>
      </w:r>
    </w:p>
    <w:p>
      <w:pPr>
        <w:pStyle w:val="Heading1"/>
        <w:keepNext/>
        <w:spacing w:after="80" w:before="280" w:line="276"/>
      </w:pPr>
      <w:r>
        <w:rPr>
          <w:rFonts w:ascii="Times New Roman" w:cs="Times New Roman" w:eastAsia="Times New Roman" w:hAnsi="Times New Roman"/>
          <w:b/>
          <w:bCs/>
          <w:sz w:val="26"/>
          <w:szCs w:val="26"/>
        </w:rPr>
        <w:t xml:space="preserve">6. Unresolved scientific or formatting issues (author actions; status on 24 October 2026)</w:t>
      </w:r>
    </w:p>
    <w:p>
      <w:pPr>
        <w:pStyle w:val="ListParagraph"/>
        <w:numPr>
          <w:ilvl w:val="0"/>
          <w:numId w:val="2"/>
        </w:numPr>
        <w:spacing w:after="60" w:line="276"/>
      </w:pPr>
      <w:r>
        <w:rPr>
          <w:rFonts w:ascii="Times New Roman" w:cs="Times New Roman" w:eastAsia="Times New Roman" w:hAnsi="Times New Roman"/>
          <w:b/>
          <w:bCs/>
          <w:sz w:val="22"/>
          <w:szCs w:val="22"/>
        </w:rPr>
        <w:t xml:space="preserve">Page limit.</w:t>
      </w:r>
      <w:r>
        <w:rPr>
          <w:rFonts w:ascii="Times New Roman" w:cs="Times New Roman" w:eastAsia="Times New Roman" w:hAnsi="Times New Roman"/>
          <w:sz w:val="22"/>
          <w:szCs w:val="22"/>
        </w:rPr>
        <w:t xml:space="preserve"> The Guide caps Short Communications at about 10 double-spaced pages including tables and figures. The main text sits at that limit, but the full double-spaced file (with references) is 17 pages. Option A: submit as a Short Communication and, if the editor asks, move Algorithm 1 and the robustness paragraph to the supplementary file. Option B: submit as an Original Research paper (limit about 20 pages). </w:t>
      </w:r>
      <w:r>
        <w:rPr>
          <w:rFonts w:ascii="Times New Roman" w:cs="Times New Roman" w:eastAsia="Times New Roman" w:hAnsi="Times New Roman"/>
          <w:b/>
          <w:bCs/>
          <w:sz w:val="22"/>
          <w:szCs w:val="22"/>
        </w:rPr>
        <w:t xml:space="preserve">Decision:</w:t>
      </w:r>
      <w:r>
        <w:rPr>
          <w:rFonts w:ascii="Times New Roman" w:cs="Times New Roman" w:eastAsia="Times New Roman" w:hAnsi="Times New Roman"/>
          <w:sz w:val="22"/>
          <w:szCs w:val="22"/>
        </w:rPr>
        <w:t xml:space="preserve"> submitted as a Short Communication (Option A).</w:t>
      </w:r>
    </w:p>
    <w:p>
      <w:pPr>
        <w:pStyle w:val="ListParagraph"/>
        <w:numPr>
          <w:ilvl w:val="0"/>
          <w:numId w:val="2"/>
        </w:numPr>
        <w:spacing w:after="60" w:line="276"/>
      </w:pPr>
      <w:r>
        <w:rPr>
          <w:rFonts w:ascii="Times New Roman" w:cs="Times New Roman" w:eastAsia="Times New Roman" w:hAnsi="Times New Roman"/>
          <w:b/>
          <w:bCs/>
          <w:sz w:val="22"/>
          <w:szCs w:val="22"/>
        </w:rPr>
        <w:t xml:space="preserve">Author list and affiliation.</w:t>
      </w:r>
      <w:r>
        <w:rPr>
          <w:rFonts w:ascii="Times New Roman" w:cs="Times New Roman" w:eastAsia="Times New Roman" w:hAnsi="Times New Roman"/>
          <w:sz w:val="22"/>
          <w:szCs w:val="22"/>
        </w:rPr>
        <w:t xml:space="preserve"> Confirm the author list (for example, whether the course instructor should be a co-author) and the full postal address of Midwest University before submitting. Elsevier does not allow authorship changes after acceptance and only allows them before acceptance through a formal request. </w:t>
      </w:r>
      <w:r>
        <w:rPr>
          <w:rFonts w:ascii="Times New Roman" w:cs="Times New Roman" w:eastAsia="Times New Roman" w:hAnsi="Times New Roman"/>
          <w:b/>
          <w:bCs/>
          <w:sz w:val="22"/>
          <w:szCs w:val="22"/>
        </w:rPr>
        <w:t xml:space="preserve">Confirmed at submission:</w:t>
      </w:r>
      <w:r>
        <w:rPr>
          <w:rFonts w:ascii="Times New Roman" w:cs="Times New Roman" w:eastAsia="Times New Roman" w:hAnsi="Times New Roman"/>
          <w:sz w:val="22"/>
          <w:szCs w:val="22"/>
        </w:rPr>
        <w:t xml:space="preserve"> single author; affiliation Midwest University, Wentzville, Missouri, United States.</w:t>
      </w:r>
    </w:p>
    <w:p>
      <w:pPr>
        <w:pStyle w:val="ListParagraph"/>
        <w:numPr>
          <w:ilvl w:val="0"/>
          <w:numId w:val="2"/>
        </w:numPr>
        <w:spacing w:after="60" w:line="276"/>
      </w:pPr>
      <w:r>
        <w:rPr>
          <w:rFonts w:ascii="Times New Roman" w:cs="Times New Roman" w:eastAsia="Times New Roman" w:hAnsi="Times New Roman"/>
          <w:b/>
          <w:bCs/>
          <w:sz w:val="22"/>
          <w:szCs w:val="22"/>
        </w:rPr>
        <w:t xml:space="preserve">Declarations tool.</w:t>
      </w:r>
      <w:r>
        <w:rPr>
          <w:rFonts w:ascii="Times New Roman" w:cs="Times New Roman" w:eastAsia="Times New Roman" w:hAnsi="Times New Roman"/>
          <w:sz w:val="22"/>
          <w:szCs w:val="22"/>
        </w:rPr>
        <w:t xml:space="preserve"> Complete Elsevier’s online declarations tool during submission and upload the Word file it generates. </w:t>
      </w:r>
      <w:r>
        <w:rPr>
          <w:rFonts w:ascii="Times New Roman" w:cs="Times New Roman" w:eastAsia="Times New Roman" w:hAnsi="Times New Roman"/>
          <w:b/>
          <w:bCs/>
          <w:sz w:val="22"/>
          <w:szCs w:val="22"/>
        </w:rPr>
        <w:t xml:space="preserve">Done at submission:</w:t>
      </w:r>
      <w:r>
        <w:rPr>
          <w:rFonts w:ascii="Times New Roman" w:cs="Times New Roman" w:eastAsia="Times New Roman" w:hAnsi="Times New Roman"/>
          <w:sz w:val="22"/>
          <w:szCs w:val="22"/>
        </w:rPr>
        <w:t xml:space="preserve"> no competing interests confirmed in the submission form.</w:t>
      </w:r>
    </w:p>
    <w:p>
      <w:pPr>
        <w:pStyle w:val="ListParagraph"/>
        <w:numPr>
          <w:ilvl w:val="0"/>
          <w:numId w:val="2"/>
        </w:numPr>
        <w:spacing w:after="60" w:line="276"/>
      </w:pPr>
      <w:r>
        <w:rPr>
          <w:rFonts w:ascii="Times New Roman" w:cs="Times New Roman" w:eastAsia="Times New Roman" w:hAnsi="Times New Roman"/>
          <w:b/>
          <w:bCs/>
          <w:sz w:val="22"/>
          <w:szCs w:val="22"/>
        </w:rPr>
        <w:t xml:space="preserve">Journal submission and screenshot.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Done:</w:t>
      </w:r>
      <w:r>
        <w:rPr>
          <w:rFonts w:ascii="Times New Roman" w:cs="Times New Roman" w:eastAsia="Times New Roman" w:hAnsi="Times New Roman"/>
          <w:sz w:val="22"/>
          <w:szCs w:val="22"/>
        </w:rPr>
        <w:t xml:space="preserve"> submitted to Knowledge-Based Systems on 24 October 2026 (status “Submission Received”); the screenshot is posted on the course page.</w:t>
      </w:r>
    </w:p>
    <w:p>
      <w:pPr>
        <w:pStyle w:val="ListParagraph"/>
        <w:numPr>
          <w:ilvl w:val="0"/>
          <w:numId w:val="2"/>
        </w:numPr>
        <w:spacing w:after="60" w:line="276"/>
      </w:pPr>
      <w:r>
        <w:rPr>
          <w:rFonts w:ascii="Times New Roman" w:cs="Times New Roman" w:eastAsia="Times New Roman" w:hAnsi="Times New Roman"/>
          <w:b/>
          <w:bCs/>
          <w:sz w:val="22"/>
          <w:szCs w:val="22"/>
        </w:rPr>
        <w:t xml:space="preserve">AI-imputation component.</w:t>
      </w:r>
      <w:r>
        <w:rPr>
          <w:rFonts w:ascii="Times New Roman" w:cs="Times New Roman" w:eastAsia="Times New Roman" w:hAnsi="Times New Roman"/>
          <w:sz w:val="22"/>
          <w:szCs w:val="22"/>
        </w:rPr>
        <w:t xml:space="preserve"> Reviewers may ask why a component that did not help out of time is kept. The manuscript explains this as a reporting-bias finding. If reviewers prefer, the full model can be re-specified without imputation in a revision and re-validated.</w:t>
      </w:r>
    </w:p>
    <w:p>
      <w:pPr>
        <w:pStyle w:val="ListParagraph"/>
        <w:numPr>
          <w:ilvl w:val="0"/>
          <w:numId w:val="2"/>
        </w:numPr>
        <w:spacing w:after="60" w:line="276"/>
      </w:pPr>
      <w:r>
        <w:rPr>
          <w:rFonts w:ascii="Times New Roman" w:cs="Times New Roman" w:eastAsia="Times New Roman" w:hAnsi="Times New Roman"/>
          <w:b/>
          <w:bCs/>
          <w:sz w:val="22"/>
          <w:szCs w:val="22"/>
        </w:rPr>
        <w:t xml:space="preserve">Knowledge-base validity.</w:t>
      </w:r>
      <w:r>
        <w:rPr>
          <w:rFonts w:ascii="Times New Roman" w:cs="Times New Roman" w:eastAsia="Times New Roman" w:hAnsi="Times New Roman"/>
          <w:sz w:val="22"/>
          <w:szCs w:val="22"/>
        </w:rPr>
        <w:t xml:space="preserve"> The 22 rules are expert-defined (drafted with AI assistance and grounded in CIS v8/NIST CSF 2.0). Practitioner validation is recommended and is listed as a limitation.</w:t>
      </w:r>
    </w:p>
    <w:p>
      <w:pPr>
        <w:pStyle w:val="ListParagraph"/>
        <w:numPr>
          <w:ilvl w:val="0"/>
          <w:numId w:val="2"/>
        </w:numPr>
        <w:spacing w:after="60" w:line="276"/>
      </w:pPr>
      <w:r>
        <w:rPr>
          <w:rFonts w:ascii="Times New Roman" w:cs="Times New Roman" w:eastAsia="Times New Roman" w:hAnsi="Times New Roman"/>
          <w:b/>
          <w:bCs/>
          <w:sz w:val="22"/>
          <w:szCs w:val="22"/>
        </w:rPr>
        <w:t xml:space="preserve">Outcome proxy.</w:t>
      </w:r>
      <w:r>
        <w:rPr>
          <w:rFonts w:ascii="Times New Roman" w:cs="Times New Roman" w:eastAsia="Times New Roman" w:hAnsi="Times New Roman"/>
          <w:sz w:val="22"/>
          <w:szCs w:val="22"/>
        </w:rPr>
        <w:t xml:space="preserve"> BIRR is a model-based proxy, not observed financial loss. This is stated in the limitations; reviewers may request loss-magnitude data in a later study.</w:t>
      </w:r>
    </w:p>
    <w:p>
      <w:pPr>
        <w:pStyle w:val="ListParagraph"/>
        <w:numPr>
          <w:ilvl w:val="0"/>
          <w:numId w:val="2"/>
        </w:numPr>
        <w:spacing w:after="60" w:line="276"/>
      </w:pPr>
      <w:r>
        <w:rPr>
          <w:rFonts w:ascii="Times New Roman" w:cs="Times New Roman" w:eastAsia="Times New Roman" w:hAnsi="Times New Roman"/>
          <w:b/>
          <w:bCs/>
          <w:sz w:val="22"/>
          <w:szCs w:val="22"/>
        </w:rPr>
        <w:t xml:space="preserve">Data deposit DOI (optional).</w:t>
      </w:r>
      <w:r>
        <w:rPr>
          <w:rFonts w:ascii="Times New Roman" w:cs="Times New Roman" w:eastAsia="Times New Roman" w:hAnsi="Times New Roman"/>
          <w:sz w:val="22"/>
          <w:szCs w:val="22"/>
        </w:rPr>
        <w:t xml:space="preserve"> For full Option C compliance, consider archiving a GitHub release on Zenodo to obtain a DOI and cite it in the data availability statement.</w:t>
      </w:r>
    </w:p>
    <w:p>
      <w:pPr>
        <w:pStyle w:val="ListParagraph"/>
        <w:numPr>
          <w:ilvl w:val="0"/>
          <w:numId w:val="2"/>
        </w:numPr>
        <w:spacing w:after="60" w:line="276"/>
      </w:pPr>
      <w:r>
        <w:rPr>
          <w:rFonts w:ascii="Times New Roman" w:cs="Times New Roman" w:eastAsia="Times New Roman" w:hAnsi="Times New Roman"/>
          <w:b/>
          <w:bCs/>
          <w:sz w:val="22"/>
          <w:szCs w:val="22"/>
        </w:rPr>
        <w:t xml:space="preserve">Author review.</w:t>
      </w:r>
      <w:r>
        <w:rPr>
          <w:rFonts w:ascii="Times New Roman" w:cs="Times New Roman" w:eastAsia="Times New Roman" w:hAnsi="Times New Roman"/>
          <w:sz w:val="22"/>
          <w:szCs w:val="22"/>
        </w:rPr>
        <w:t xml:space="preserve"> Elsevier holds authors accountable for AI-assisted content. Read the manuscript fully, check every claim, and update the generative AI declaration if other tools (for example ChatGPT or Cursor) are used later.</w:t>
      </w:r>
    </w:p>
    <w:p>
      <w:pPr>
        <w:pStyle w:val="ListParagraph"/>
        <w:numPr>
          <w:ilvl w:val="0"/>
          <w:numId w:val="2"/>
        </w:numPr>
        <w:spacing w:after="60" w:line="276"/>
      </w:pPr>
      <w:r>
        <w:rPr>
          <w:rFonts w:ascii="Times New Roman" w:cs="Times New Roman" w:eastAsia="Times New Roman" w:hAnsi="Times New Roman"/>
          <w:b/>
          <w:bCs/>
          <w:sz w:val="22"/>
          <w:szCs w:val="22"/>
        </w:rPr>
        <w:t xml:space="preserve">Licenses.</w:t>
      </w:r>
      <w:r>
        <w:rPr>
          <w:rFonts w:ascii="Times New Roman" w:cs="Times New Roman" w:eastAsia="Times New Roman" w:hAnsi="Times New Roman"/>
          <w:sz w:val="22"/>
          <w:szCs w:val="22"/>
        </w:rPr>
        <w:t xml:space="preserve"> Code is released under MIT and derived data under CC BY-SA 4.0 (required by the VCDB license). Change the code license if you prefer another one.</w:t>
      </w:r>
    </w:p>
    <w:p>
      <w:pPr>
        <w:pStyle w:val="Heading1"/>
        <w:keepNext/>
        <w:spacing w:after="80" w:before="280" w:line="276"/>
      </w:pPr>
      <w:r>
        <w:rPr>
          <w:rFonts w:ascii="Times New Roman" w:cs="Times New Roman" w:eastAsia="Times New Roman" w:hAnsi="Times New Roman"/>
          <w:b/>
          <w:bCs/>
          <w:sz w:val="26"/>
          <w:szCs w:val="26"/>
        </w:rPr>
        <w:t xml:space="preserve">7. Final recommendation</w:t>
      </w:r>
    </w:p>
    <w:p>
      <w:pPr>
        <w:keepNext w:val="false"/>
        <w:spacing w:after="100" w:before="0" w:line="276"/>
        <w:jc w:val="left"/>
      </w:pPr>
      <w:r>
        <w:rPr>
          <w:rFonts w:ascii="Times New Roman" w:cs="Times New Roman" w:eastAsia="Times New Roman" w:hAnsi="Times New Roman"/>
          <w:b/>
          <w:bCs/>
          <w:sz w:val="24"/>
          <w:szCs w:val="24"/>
        </w:rPr>
        <w:t xml:space="preserve">Minor Revisions (author actions only).</w:t>
      </w:r>
      <w:r>
        <w:rPr>
          <w:rFonts w:ascii="Times New Roman" w:cs="Times New Roman" w:eastAsia="Times New Roman" w:hAnsi="Times New Roman"/>
          <w:sz w:val="24"/>
          <w:szCs w:val="24"/>
        </w:rPr>
        <w:t xml:space="preserve"> The science, analysis, figures, tables, references and journal formatting are ready. All automated checks pass, and the code reproduces every number on two library stacks. Before submission the author must (i) choose the article type given the page limit, (ii) confirm the author list and affiliation address, (iii) read and approve the full text, and (iv) complete the online declarations. After that the manuscript is </w:t>
      </w:r>
      <w:r>
        <w:rPr>
          <w:rFonts w:ascii="Times New Roman" w:cs="Times New Roman" w:eastAsia="Times New Roman" w:hAnsi="Times New Roman"/>
          <w:b/>
          <w:bCs/>
          <w:sz w:val="24"/>
          <w:szCs w:val="24"/>
        </w:rPr>
        <w:t xml:space="preserve">Ready for Submission</w:t>
      </w:r>
      <w:r>
        <w:rPr>
          <w:rFonts w:ascii="Times New Roman" w:cs="Times New Roman" w:eastAsia="Times New Roman" w:hAnsi="Times New Roman"/>
          <w:sz w:val="24"/>
          <w:szCs w:val="24"/>
        </w:rPr>
        <w:t xml:space="preserve">.</w:t>
      </w:r>
    </w:p>
    <w:p>
      <w:pPr>
        <w:keepNext w:val="false"/>
        <w:spacing w:after="100" w:before="60" w:line="276"/>
        <w:jc w:val="left"/>
      </w:pPr>
      <w:r>
        <w:rPr>
          <w:rFonts w:ascii="Times New Roman" w:cs="Times New Roman" w:eastAsia="Times New Roman" w:hAnsi="Times New Roman"/>
          <w:sz w:val="24"/>
          <w:szCs w:val="24"/>
        </w:rPr>
        <w:t xml:space="preserve">Verification was repeated after the last substantive edit: 81/81 checks passed, and the full pipeline was re-run three times with identical results.</w:t>
      </w:r>
    </w:p>
    <w:p>
      <w:pPr>
        <w:keepNext w:val="false"/>
        <w:spacing w:after="100" w:before="40" w:line="276"/>
        <w:jc w:val="left"/>
      </w:pPr>
      <w:r>
        <w:rPr>
          <w:rFonts w:ascii="Times New Roman" w:cs="Times New Roman" w:eastAsia="Times New Roman" w:hAnsi="Times New Roman"/>
          <w:b/>
          <w:bCs/>
          <w:sz w:val="24"/>
          <w:szCs w:val="24"/>
        </w:rPr>
        <w:t xml:space="preserve">Update, 24 October 2026.</w:t>
      </w:r>
      <w:r>
        <w:rPr>
          <w:rFonts w:ascii="Times New Roman" w:cs="Times New Roman" w:eastAsia="Times New Roman" w:hAnsi="Times New Roman"/>
          <w:sz w:val="24"/>
          <w:szCs w:val="24"/>
        </w:rPr>
        <w:t xml:space="preserve"> Author actions completed; submitted to Knowledge-Based Systems as a Short Communication. The course and GitHub copy is set in a regular reading layout (no line numbers, 1.15 spacing, 11 pages); its text is identical to the submitted file and 81/81 checks still pass.</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line="276"/>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60" w:line="276"/>
      <w:outlineLvl w:val="1"/>
    </w:pPr>
    <w:rPr>
      <w:rFonts w:ascii="Times New Roman" w:cs="Times New Roman" w:eastAsia="Times New Roman" w:hAnsi="Times New Roman"/>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readiness report</dc:title>
  <dc:creator>Rahul Chandra Nandagiri</dc:creator>
  <cp:lastModifiedBy>Un-named</cp:lastModifiedBy>
  <cp:revision>1</cp:revision>
  <dcterms:created xsi:type="dcterms:W3CDTF">2026-10-24T19:12:06.814Z</dcterms:created>
  <dcterms:modified xsi:type="dcterms:W3CDTF">2026-10-24T19:12:06.814Z</dcterms:modified>
</cp:coreProperties>
</file>

<file path=docProps/custom.xml><?xml version="1.0" encoding="utf-8"?>
<Properties xmlns="http://schemas.openxmlformats.org/officeDocument/2006/custom-properties" xmlns:vt="http://schemas.openxmlformats.org/officeDocument/2006/docPropsVTypes"/>
</file>