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Supplementary material</w:t>
      </w:r>
    </w:p>
    <w:p>
      <w:pPr>
        <w:spacing w:after="12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Aligning cybersecurity investment with business-impact risk: A knowledge-based AI decision-support model evaluated on real-world incident data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Rahul Chandra Nandagiri</w:t>
      </w:r>
    </w:p>
    <w:p>
      <w:pPr>
        <w:keepNext w:val="false"/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tables below are produced by run_experiment.py in the public repository (https://github.com/rahulchandranandagiri/cybersecurity-investment-business-performance) and are also provided there as CSV files in results/tables/. Unless stated otherwise, decision results use the reference budget (B = 9, α = β = 1) and the 18 sector–size profiles of the 2017–2026 evaluation period.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Knowledge base: production rules mapping VERIS incident patterns to control families (R1–R22) and expert consequence rules (C1–C3). An incident’s family weights are the normalized counts of the rules it triggers.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1300"/>
        <w:gridCol w:w="5660"/>
        <w:gridCol w:w="17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W w:type="dxa" w:w="56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Family / consequence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Use of stolen creds / brute force / credential stuffing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Exploit vuln, SQLi, XSS, forced browsing, abuse of functionality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Backdoor or command-and-control use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Denial of service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Unknown variety via web application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Unknown variety via remote access / desktop sharing / VPN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Unknown variety via backdoor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Unknown variety and vector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F1, F2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Any malware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Ransomware or data destruction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Delivered by e-mail or web (attachment, link, drive-by)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Remote injection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social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Bribery of insiders only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social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Phishing, pretexting and other social engineering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misuse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Any insider misuse (privilege, possession, knowledge abuse)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misuse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mishandling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Misconfiguration, programming error, malfunction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Misdelivery, publishing, disposal, loss and other handling errors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Any physical action (theft, skimmer, tampering, snooping)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Theft of user devices or media (encryption gap)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environmental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Fire, power failure, natural hazard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actor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Partner actor or partner vector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Ransomware, destructive malware, DoS or environmental event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disrupt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 of server-side data stores, data-capturing malware, or misconfiguration/publishing of server data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mass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56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Handling error (misdelivery, disposal, loss, gaffe), or physical or misuse action without hacking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contained</w:t>
            </w:r>
          </w:p>
        </w:tc>
      </w:tr>
    </w:tbl>
    <w:p>
      <w:pPr>
        <w:spacing w:after="160" w:before="4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Source: decision_intelligence.py (RULES, family_weights, consequence_rules).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Control families and their alignment with CIS Critical Security Controls v8 and NIST CSF 2.0 categories.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4260"/>
        <w:gridCol w:w="4200"/>
      </w:tblGrid>
      <w:tr>
        <w:trPr>
          <w:cantSplit/>
          <w:tblHeader/>
        </w:trPr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42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CIS v8 / NIST CSF 2.0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Identity &amp; access management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5-6; PR.AA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Vulnerability &amp; secure configuration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4, 7, 16; ID.RA, PR.PS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Email/web protection &amp; awareness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9, 14; PR.AT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 defense &amp; threat detection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10, 13; DE.CM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Backup, recovery &amp; resilience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11, 17; RC.RP, PR.IR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Data protection &amp; handling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3; PR.DS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Insider &amp; privileged-activity monitoring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6, 8; DE.CM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 &amp; asset security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1-2; PR.AA-06</w:t>
            </w:r>
          </w:p>
        </w:tc>
      </w:tr>
      <w:tr>
        <w:trPr>
          <w:cantSplit/>
          <w:tblHeader w:val="off"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Third-party &amp; supply-chain risk</w:t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CIS 15; GV.SC</w:t>
            </w:r>
          </w:p>
        </w:tc>
      </w:tr>
    </w:tbl>
    <w:p>
      <w:pPr>
        <w:spacing w:after="160" w:before="40" w:line="276"/>
      </w:pP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Business-impact risk reduction (BIRR) by profile at the reference budget.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60"/>
        <w:gridCol w:w="900"/>
        <w:gridCol w:w="1200"/>
        <w:gridCol w:w="1200"/>
        <w:gridCol w:w="1300"/>
        <w:gridCol w:w="1000"/>
        <w:gridCol w:w="1200"/>
      </w:tblGrid>
      <w:tr>
        <w:trPr>
          <w:cantSplit/>
          <w:tblHeader/>
        </w:trPr>
        <w:tc>
          <w:tcPr>
            <w:tcW w:type="dxa" w:w="25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Profile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Equal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Threat freq. (context)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Impact-aligned (pooled)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KB-CIDS w/o AI imputation</w:t>
            </w:r>
          </w:p>
        </w:tc>
        <w:tc>
          <w:tcPr>
            <w:tcW w:type="dxa" w:w="1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KB-CIDS</w:t>
            </w:r>
          </w:p>
        </w:tc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Oracle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Administrative services,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0.412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0.472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0.527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0.604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Administrative services,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0.575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0.609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0.638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0.734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Education,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0.426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0.602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Education,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0.406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0.598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0.704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Finance &amp; insurance,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0.601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0.597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0.602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0.648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Finance &amp; insurance,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0.519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0.573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0.656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Healthcare,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0.375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0.443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0.518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0.595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Healthcare,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0.380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0.488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0.568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0.541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0.628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Information,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0.617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0.653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0.647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0.679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Information,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0.571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0.632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0.677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0.662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0.695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Manufacturing,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0.462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0.542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0.592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0.639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Manufacturing,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0.471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0.604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0.662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Professional services,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0.424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0.524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0.580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0.648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Professional services,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0.620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0.665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0.730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Public administration,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0.523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0.545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0.539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0.548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0.558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Public administration,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0.459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0.542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0.586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0.568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0.619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Retail &amp; wholesale, Large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0.579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0.625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0.613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0.674</w:t>
            </w:r>
          </w:p>
        </w:tc>
      </w:tr>
      <w:tr>
        <w:trPr>
          <w:cantSplit/>
          <w:tblHeader w:val="off"/>
        </w:trPr>
        <w:tc>
          <w:tcPr>
            <w:tcW w:type="dxa" w:w="25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Retail &amp; wholesale, Small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0.586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0.647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0.650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0.731</w:t>
            </w:r>
          </w:p>
        </w:tc>
      </w:tr>
    </w:tbl>
    <w:p>
      <w:pPr>
        <w:spacing w:after="160" w:before="40" w:line="276"/>
      </w:pP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Weighting parameters selected on the inner validation split (training up to 2014, validation 2015–2016) and the corresponding validation BIRR.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60"/>
        <w:gridCol w:w="1100"/>
        <w:gridCol w:w="1300"/>
        <w:gridCol w:w="1700"/>
        <w:gridCol w:w="1600"/>
      </w:tblGrid>
      <w:tr>
        <w:trPr>
          <w:cantSplit/>
          <w:tblHeader/>
        </w:trPr>
        <w:tc>
          <w:tcPr>
            <w:tcW w:type="dxa" w:w="36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Strategy</w:t>
            </w:r>
          </w:p>
        </w:tc>
        <w:tc>
          <w:tcPr>
            <w:tcW w:type="dxa" w:w="1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  <w:vertAlign w:val="subscript"/>
              </w:rPr>
              <w:t xml:space="preserve">s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λ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  <w:vertAlign w:val="subscript"/>
              </w:rPr>
              <w:t xml:space="preserve">g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Half-life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9"/>
                <w:szCs w:val="19"/>
              </w:rPr>
              <w:t xml:space="preserve">h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 (years)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Validation BIRR</w:t>
            </w:r>
          </w:p>
        </w:tc>
      </w:tr>
      <w:tr>
        <w:trPr>
          <w:cantSplit/>
          <w:tblHeader w:val="off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KB-CIDS (full)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0.5601</w:t>
            </w:r>
          </w:p>
        </w:tc>
      </w:tr>
      <w:tr>
        <w:trPr>
          <w:cantSplit/>
          <w:tblHeader w:val="off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KB-CIDS w/o context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0.5585</w:t>
            </w:r>
          </w:p>
        </w:tc>
      </w:tr>
      <w:tr>
        <w:trPr>
          <w:cantSplit/>
          <w:tblHeader w:val="off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KB-CIDS w/o recency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0.5516</w:t>
            </w:r>
          </w:p>
        </w:tc>
      </w:tr>
      <w:tr>
        <w:trPr>
          <w:cantSplit/>
          <w:tblHeader w:val="off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KB-CIDS w/o AI imputation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0.5414</w:t>
            </w:r>
          </w:p>
        </w:tc>
      </w:tr>
      <w:tr>
        <w:trPr>
          <w:cantSplit/>
          <w:tblHeader w:val="off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Impact-aligned (pooled)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0.5300</w:t>
            </w:r>
          </w:p>
        </w:tc>
      </w:tr>
      <w:tr>
        <w:trPr>
          <w:cantSplit/>
          <w:tblHeader w:val="off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Threat frequency (context)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0.4871</w:t>
            </w:r>
          </w:p>
        </w:tc>
      </w:tr>
      <w:tr>
        <w:trPr>
          <w:cantSplit/>
          <w:tblHeader w:val="off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Threat frequency (pooled)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∞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0.4534</w:t>
            </w:r>
          </w:p>
        </w:tc>
      </w:tr>
    </w:tbl>
    <w:p>
      <w:pPr>
        <w:spacing w:after="160" w:before="4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∞ denotes no weighting on that dimension (pooled context or no recency discount). The full grid is in S3_validation_tuning.csv.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Mean BIRR across profiles as a function of the budget relative to the reference budget.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60"/>
        <w:gridCol w:w="1400"/>
        <w:gridCol w:w="1700"/>
        <w:gridCol w:w="1700"/>
        <w:gridCol w:w="1600"/>
        <w:gridCol w:w="1600"/>
      </w:tblGrid>
      <w:tr>
        <w:trPr>
          <w:cantSplit/>
          <w:tblHeader/>
        </w:trPr>
        <w:tc>
          <w:tcPr>
            <w:tcW w:type="dxa" w:w="13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9"/>
                <w:szCs w:val="19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 /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19"/>
                <w:szCs w:val="19"/>
              </w:rPr>
              <w:t xml:space="preserve">B</w:t>
            </w: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  <w:vertAlign w:val="subscript"/>
              </w:rPr>
              <w:t xml:space="preserve">ref</w:t>
            </w:r>
          </w:p>
        </w:tc>
        <w:tc>
          <w:tcPr>
            <w:tcW w:type="dxa" w:w="14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Equal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Threat freq. (context)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Impact-aligned (pooled)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KB-CIDS</w:t>
            </w:r>
          </w:p>
        </w:tc>
        <w:tc>
          <w:tcPr>
            <w:tcW w:type="dxa" w:w="1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Oracle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0.091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0.170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0.190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0.224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0.151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0.155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0.239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0.264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0.313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0.224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0.321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0.360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0.420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0.425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0.467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0.538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0.483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0.656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1.78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0.640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0.628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0.678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0.703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0.761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0.760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0.752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0.785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0.802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0.845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5.62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0.876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0.905</w:t>
            </w:r>
          </w:p>
        </w:tc>
      </w:tr>
      <w:tr>
        <w:trPr>
          <w:cantSplit/>
          <w:tblHeader w:val="off"/>
        </w:trPr>
        <w:tc>
          <w:tcPr>
            <w:tcW w:type="dxa" w:w="13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10.00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0.919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0.925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0.943</w:t>
            </w:r>
          </w:p>
        </w:tc>
      </w:tr>
    </w:tbl>
    <w:p>
      <w:pPr>
        <w:spacing w:after="160" w:before="40" w:line="276"/>
      </w:pP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Sensitivity of mean BIRR to the Gordon–Loeb parameters α and β at the reference budget.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800"/>
        <w:gridCol w:w="1300"/>
        <w:gridCol w:w="1700"/>
        <w:gridCol w:w="1300"/>
        <w:gridCol w:w="1300"/>
        <w:gridCol w:w="2160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α</w:t>
            </w:r>
          </w:p>
        </w:tc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β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Equal</w:t>
            </w:r>
          </w:p>
        </w:tc>
        <w:tc>
          <w:tcPr>
            <w:tcW w:type="dxa" w:w="1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Threat freq. (context)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KB-CIDS</w:t>
            </w:r>
          </w:p>
        </w:tc>
        <w:tc>
          <w:tcPr>
            <w:tcW w:type="dxa" w:w="13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Oracle</w:t>
            </w:r>
          </w:p>
        </w:tc>
        <w:tc>
          <w:tcPr>
            <w:tcW w:type="dxa" w:w="21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KB-CIDS gap closed (%)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0.333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0.308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0.444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0.513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61.5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0.556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0.538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0.732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57.0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0.704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0.692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0.779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0.845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53.3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0.500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0.483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0.588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0.656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56.5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0.750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0.740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0.807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0.862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50.8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0.875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0.870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0.942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47.2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0.667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0.656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0.781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51.5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0.889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0.885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0.944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46.4</w:t>
            </w:r>
          </w:p>
        </w:tc>
      </w:tr>
      <w:tr>
        <w:trPr>
          <w:cantSplit/>
          <w:tblHeader w:val="off"/>
        </w:trPr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0.963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0.961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0.972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0.985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43.2</w:t>
            </w:r>
          </w:p>
        </w:tc>
      </w:tr>
    </w:tbl>
    <w:p>
      <w:pPr>
        <w:spacing w:after="160" w:before="40" w:line="276"/>
      </w:pP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Robustness of the decision results to alternative specifications (each specification re-tunes on its own inner validation split).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900"/>
        <w:gridCol w:w="750"/>
        <w:gridCol w:w="700"/>
        <w:gridCol w:w="850"/>
        <w:gridCol w:w="850"/>
        <w:gridCol w:w="850"/>
        <w:gridCol w:w="850"/>
        <w:gridCol w:w="800"/>
        <w:gridCol w:w="900"/>
        <w:gridCol w:w="91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Specification</w:t>
            </w:r>
          </w:p>
        </w:tc>
        <w:tc>
          <w:tcPr>
            <w:tcW w:type="dxa" w:w="7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Profiles</w:t>
            </w:r>
          </w:p>
        </w:tc>
        <w:tc>
          <w:tcPr>
            <w:tcW w:type="dxa" w:w="7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Equal</w:t>
            </w:r>
          </w:p>
        </w:tc>
        <w:tc>
          <w:tcPr>
            <w:tcW w:type="dxa" w:w="8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Threat freq.</w:t>
            </w:r>
          </w:p>
        </w:tc>
        <w:tc>
          <w:tcPr>
            <w:tcW w:type="dxa" w:w="8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Impact pooled</w:t>
            </w:r>
          </w:p>
        </w:tc>
        <w:tc>
          <w:tcPr>
            <w:tcW w:type="dxa" w:w="8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w/o AI imp.</w:t>
            </w:r>
          </w:p>
        </w:tc>
        <w:tc>
          <w:tcPr>
            <w:tcW w:type="dxa" w:w="85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KB-CIDS</w:t>
            </w:r>
          </w:p>
        </w:tc>
        <w:tc>
          <w:tcPr>
            <w:tcW w:type="dxa" w:w="8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Oracle</w:t>
            </w:r>
          </w:p>
        </w:tc>
        <w:tc>
          <w:tcPr>
            <w:tcW w:type="dxa" w:w="9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Gap closed (%)</w:t>
            </w:r>
          </w:p>
        </w:tc>
        <w:tc>
          <w:tcPr>
            <w:tcW w:type="dxa" w:w="91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 vs threat freq.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Main specification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0.553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0.599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0.588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0.656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56.5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Record threshold 100,000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0.592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0.671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66.8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Excluding non-random sub-sources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0.421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0.553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0.550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0.645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34.3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0.008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Split year 2015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0.457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0.520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0.554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0.565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0.644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45.6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Split year 2017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0.488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0.570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0.617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0.604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0.659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65.2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  <w:tr>
        <w:trPr>
          <w:cantSplit/>
          <w:tblHeader w:val="off"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Profiles with &gt;= 5 material incidents</w:t>
            </w:r>
          </w:p>
        </w:tc>
        <w:tc>
          <w:tcPr>
            <w:tcW w:type="dxa" w:w="7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22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0.500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0.478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0.551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0.599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0.588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0.665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53.4</w:t>
            </w:r>
          </w:p>
        </w:tc>
        <w:tc>
          <w:tcPr>
            <w:tcW w:type="dxa" w:w="91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&lt;0.001</w:t>
            </w:r>
          </w:p>
        </w:tc>
      </w:tr>
    </w:tbl>
    <w:p>
      <w:pPr>
        <w:spacing w:after="160" w:before="4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p from two-sided Wilcoxon signed-rank tests of KB-CIDS against context-weighted threat-frequency allocation.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S7.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Permutation importance of the KB-CIDS materiality model on the evaluation period (mean drop in ROC-AUC over 10 repeats; top 15 features).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60"/>
        <w:gridCol w:w="2000"/>
        <w:gridCol w:w="2000"/>
      </w:tblGrid>
      <w:tr>
        <w:trPr>
          <w:cantSplit/>
          <w:tblHeader/>
        </w:trPr>
        <w:tc>
          <w:tcPr>
            <w:tcW w:type="dxa" w:w="53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Mean ΔAUC</w:t>
            </w:r>
          </w:p>
        </w:tc>
        <w:tc>
          <w:tcPr>
            <w:tcW w:type="dxa" w:w="20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SD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kb_F5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0.0737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0.0093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asset=S - Database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0.0350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0.0018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asset=M - Documents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0.0161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0.0038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sector=Healthcare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0.0111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0.0018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kr_contained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0.0107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0.0018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sector=Information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0.0101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0.0020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kb_F3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0.0058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0.0016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asset=S - Mail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0.0055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0.0009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asset=M - Payment card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0.0054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0.0017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asset=T - ATM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0.0046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0.0009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asset=S - File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0.0043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0.0009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region=US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0.0033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0.0009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asset=S - Unknown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0.0032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0.0015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sector=Administrative services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0.0010</w:t>
            </w:r>
          </w:p>
        </w:tc>
      </w:tr>
      <w:tr>
        <w:trPr>
          <w:cantSplit/>
          <w:tblHeader w:val="off"/>
        </w:trPr>
        <w:tc>
          <w:tcPr>
            <w:tcW w:type="dxa" w:w="53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kb_F2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0.0026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0.0008</w:t>
            </w:r>
          </w:p>
        </w:tc>
      </w:tr>
    </w:tbl>
    <w:p>
      <w:pPr>
        <w:spacing w:after="160" w:before="40" w:line="276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kb_F1–kb_F9 are knowledge-base family weights; kr_disrupt, kr_mass and kr_contained are expert consequence-rule flags.</w:t>
      </w: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S8.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Allocation rationale for small healthcare organizations: the threat patterns contributing most of each family’s business-impact risk (development-period evidence, KB-CIDS weights).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0"/>
        <w:gridCol w:w="5560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55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Threat pattern</w:t>
            </w:r>
          </w:p>
        </w:tc>
        <w:tc>
          <w:tcPr>
            <w:tcW w:type="dxa" w:w="26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Share of family risk (%)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hacking:Unknown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62.4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hacking:Use of stolen creds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hacking:Unknown + malware:Ransomware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5.7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hacking:Unknown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62.0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error:Misconfiguration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9.3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hacking:SQLi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7.0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social:Phishing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20.4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malware:Ransomware + social:Phishing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18.9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malware:Unknown + social:Phishing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10.5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malware:Ransomware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34.3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malware:Unknown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11.8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hacking:Unknown + malware:Ransomware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5.8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hacking:DoS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40.5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malware:Ransomware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34.5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hacking:Unknown + malware:Ransomware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5.8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error:Publishing error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26.3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physical:Theft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24.7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error:Misdelivery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20.8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misuse:Privilege abuse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61.9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social:Bribery + misuse:Privilege abuse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8.0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misuse:Data mishandling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5.9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physical:Theft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57.9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physical:Tampering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17.5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physical:Skimmer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9.6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error:Publishing error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26.0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error:Disposal error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</w:tr>
      <w:tr>
        <w:trPr>
          <w:cantSplit/>
          <w:tblHeader w:val="off"/>
        </w:trP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55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error:Misdelivery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8.3</w:t>
            </w:r>
          </w:p>
        </w:tc>
      </w:tr>
    </w:tbl>
    <w:p>
      <w:pPr>
        <w:spacing w:after="160" w:before="40" w:line="276"/>
      </w:pP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S9.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Mean budget shares (%) by control family across the 18 profiles, compared with the realized shares of material-impact risk in 2017–2026.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88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cantSplit/>
          <w:tblHeader/>
        </w:trPr>
        <w:tc>
          <w:tcPr>
            <w:tcW w:type="dxa" w:w="288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Allocation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F1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F2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F3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F4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F5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F6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F7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F8</w:t>
            </w:r>
          </w:p>
        </w:tc>
        <w:tc>
          <w:tcPr>
            <w:tcW w:type="dxa" w:w="72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F9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Threat frequency, context-weighted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19.9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26.6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17.9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14.5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0.4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KB-CIDS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28.7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10.9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15.0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7.0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0.3</w:t>
            </w:r>
          </w:p>
        </w:tc>
      </w:tr>
      <w:tr>
        <w:trPr>
          <w:cantSplit/>
          <w:tblHeader w:val="off"/>
        </w:trPr>
        <w:tc>
          <w:tcPr>
            <w:tcW w:type="dxa" w:w="288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Realized risk share 2017–2026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12.0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41.4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5.0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16.3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13.9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5.9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2.9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  <w:tc>
          <w:tcPr>
            <w:tcW w:type="dxa" w:w="72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</w:tr>
    </w:tbl>
    <w:p>
      <w:pPr>
        <w:spacing w:after="160" w:before="40" w:line="276"/>
      </w:pPr>
    </w:p>
    <w:p>
      <w:pPr>
        <w:keepNext/>
        <w:spacing w:after="60" w:before="120" w:line="276"/>
        <w:jc w:val="left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S10.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Out-of-time predictive metrics with 95% bootstrap confidence intervals (2,000 resamples).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60"/>
        <w:gridCol w:w="2100"/>
        <w:gridCol w:w="2100"/>
        <w:gridCol w:w="2100"/>
      </w:tblGrid>
      <w:tr>
        <w:trPr>
          <w:cantSplit/>
          <w:tblHeader/>
        </w:trPr>
        <w:tc>
          <w:tcPr>
            <w:tcW w:type="dxa" w:w="306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PR-AUC [95% CI]</w:t>
            </w:r>
          </w:p>
        </w:tc>
        <w:tc>
          <w:tcPr>
            <w:tcW w:type="dxa" w:w="2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Brier [95% CI]</w:t>
            </w:r>
          </w:p>
        </w:tc>
        <w:tc>
          <w:tcPr>
            <w:tcW w:type="dxa" w:w="2100"/>
            <w:tcBorders>
              <w:top w:val="single" w:color="000000" w:sz="8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ECE [95% CI]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Historical lookup (action category)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0.759 [0.728–0.791]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0.288 [0.273–0.303]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0.270 [0.246–0.298]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Expert consequence rules (Platt-calibrated)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0.861 [0.840–0.882]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0.194 [0.183–0.206]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0.188 [0.166–0.212]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Logistic regression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0.906 [0.887–0.923]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0.189 [0.176–0.202]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0.181 [0.159–0.204]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0.915 [0.897–0.930]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0.176 [0.166–0.187]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0.180 [0.159–0.201]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Gradient boosting (no knowledge features)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0.928 [0.911–0.942]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0.150 [0.138–0.162]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0.118 [0.098–0.139]</w:t>
            </w:r>
          </w:p>
        </w:tc>
      </w:tr>
      <w:tr>
        <w:trPr>
          <w:cantSplit/>
          <w:tblHeader w:val="off"/>
        </w:trPr>
        <w:tc>
          <w:tcPr>
            <w:tcW w:type="dxa" w:w="306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KB-CIDS materiality model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0.932 [0.915–0.946]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0.151 [0.139–0.162]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000000" w:sz="8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0.130 [0.111–0.152]</w:t>
            </w:r>
          </w:p>
        </w:tc>
      </w:tr>
    </w:tbl>
    <w:p>
      <w:pPr>
        <w:spacing w:after="160" w:before="40" w:line="276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 w:line="48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0" w:before="120" w:line="480"/>
      <w:outlineLvl w:val="1"/>
    </w:pPr>
    <w:rPr>
      <w:rFonts w:ascii="Times New Roman" w:cs="Times New Roman" w:eastAsia="Times New Roman" w:hAnsi="Times New Roman"/>
      <w:i/>
      <w:i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</dc:title>
  <dc:creator>Rahul Chandra Nandagiri</dc:creator>
  <cp:lastModifiedBy>Un-named</cp:lastModifiedBy>
  <cp:revision>1</cp:revision>
  <dcterms:created xsi:type="dcterms:W3CDTF">2026-10-23T20:59:07.391Z</dcterms:created>
  <dcterms:modified xsi:type="dcterms:W3CDTF">2026-10-23T20:59:07.391Z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