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marketing-competitive-digest"/>
      <w:r>
        <w:t xml:space="preserve">Marketing Competitive Digest</w:t>
      </w:r>
      <w:bookmarkEnd w:id="20"/>
    </w:p>
    <w:p>
      <w:pPr>
        <w:pStyle w:val="FirstParagraph"/>
      </w:pPr>
      <w:r>
        <w:rPr>
          <w:b/>
        </w:rPr>
        <w:t xml:space="preserve">Week of 2026-01-26 to 2026-02-01</w:t>
      </w:r>
    </w:p>
    <w:p>
      <w:pPr>
        <w:pStyle w:val="BodyText"/>
      </w:pPr>
      <w:r>
        <w:rPr>
          <w:i/>
        </w:rPr>
        <w:t xml:space="preserve">Generated: 2/1/2026</w:t>
      </w:r>
    </w:p>
    <w:p>
      <w:pPr>
        <w:pStyle w:val="Heading2"/>
      </w:pPr>
      <w:bookmarkStart w:id="21" w:name="executive-summary"/>
      <w:r>
        <w:t xml:space="preserve">📋 Executive Summary</w:t>
      </w:r>
      <w:bookmarkEnd w:id="21"/>
    </w:p>
    <w:p>
      <w:pPr>
        <w:pStyle w:val="Heading1"/>
      </w:pPr>
      <w:bookmarkStart w:id="22" w:name="sentry-competitive-marketing-digest"/>
      <w:r>
        <w:t xml:space="preserve">Sentry Competitive Marketing Digest</w:t>
      </w:r>
      <w:bookmarkEnd w:id="22"/>
    </w:p>
    <w:p>
      <w:pPr>
        <w:pStyle w:val="Heading2"/>
      </w:pPr>
      <w:bookmarkStart w:id="23" w:name="executive-summary-1"/>
      <w:r>
        <w:t xml:space="preserve">EXECUTIVE SUMMARY</w:t>
      </w:r>
      <w:bookmarkEnd w:id="23"/>
    </w:p>
    <w:p>
      <w:pPr>
        <w:pStyle w:val="FirstParagraph"/>
      </w:pPr>
      <w:r>
        <w:t xml:space="preserve">The observability market is rapidly consolidating into unified platforms with AI-powered autonomous operations, led by Dynatrace’s aggressive push into</w:t>
      </w:r>
      <w:r>
        <w:t xml:space="preserve"> </w:t>
      </w:r>
      <w:r>
        <w:t xml:space="preserve">“</w:t>
      </w:r>
      <w:r>
        <w:t xml:space="preserve">agentic operations</w:t>
      </w:r>
      <w:r>
        <w:t xml:space="preserve">”</w:t>
      </w:r>
      <w:r>
        <w:t xml:space="preserve"> </w:t>
      </w:r>
      <w:r>
        <w:t xml:space="preserve">and PostHog’s expansion into error monitoring and logs. Sentry’s own log drains launch positions them well, but they need to accelerate their unified platform messaging and counter competitors’ claims about replacing multiple tools before losing mindshare to all-in-one alternatives.</w:t>
      </w:r>
    </w:p>
    <w:p>
      <w:pPr>
        <w:pStyle w:val="Heading2"/>
      </w:pPr>
      <w:bookmarkStart w:id="24" w:name="priority-actions"/>
      <w:r>
        <w:t xml:space="preserve">PRIORITY ACTIONS</w:t>
      </w:r>
      <w:bookmarkEnd w:id="24"/>
    </w:p>
    <w:p>
      <w:pPr>
        <w:pStyle w:val="Heading3"/>
      </w:pPr>
      <w:bookmarkStart w:id="25" w:name="X0d62e3af0adc57da5b7222cf23e2fd1bf254940"/>
      <w:r>
        <w:t xml:space="preserve">1.</w:t>
      </w:r>
      <w:r>
        <w:t xml:space="preserve"> </w:t>
      </w:r>
      <w:r>
        <w:rPr>
          <w:b/>
        </w:rPr>
        <w:t xml:space="preserve">URGENT: Launch Unified Platform Messaging Campaign</w:t>
      </w:r>
      <w:bookmarkEnd w:id="25"/>
    </w:p>
    <w:p>
      <w:pPr>
        <w:numPr>
          <w:ilvl w:val="0"/>
          <w:numId w:val="1001"/>
        </w:numPr>
        <w:pStyle w:val="Compact"/>
      </w:pPr>
      <w:r>
        <w:rPr>
          <w:b/>
        </w:rPr>
        <w:t xml:space="preserve">Priority</w:t>
      </w:r>
      <w:r>
        <w:t xml:space="preserve">: Urgent</w:t>
      </w:r>
    </w:p>
    <w:p>
      <w:pPr>
        <w:numPr>
          <w:ilvl w:val="0"/>
          <w:numId w:val="1001"/>
        </w:numPr>
        <w:pStyle w:val="Compact"/>
      </w:pPr>
      <w:r>
        <w:rPr>
          <w:b/>
        </w:rPr>
        <w:t xml:space="preserve">Description</w:t>
      </w:r>
      <w:r>
        <w:t xml:space="preserve">: Create comprehensive</w:t>
      </w:r>
      <w:r>
        <w:t xml:space="preserve"> </w:t>
      </w:r>
      <w:r>
        <w:t xml:space="preserve">“</w:t>
      </w:r>
      <w:r>
        <w:t xml:space="preserve">One Platform, Complete Picture</w:t>
      </w:r>
      <w:r>
        <w:t xml:space="preserve">”</w:t>
      </w:r>
      <w:r>
        <w:t xml:space="preserve"> </w:t>
      </w:r>
      <w:r>
        <w:t xml:space="preserve">campaign positioning Sentry as the unified observability solution that eliminates tool sprawl, directly countering PostHog’s</w:t>
      </w:r>
      <w:r>
        <w:t xml:space="preserve"> </w:t>
      </w:r>
      <w:r>
        <w:t xml:space="preserve">“</w:t>
      </w:r>
      <w:r>
        <w:t xml:space="preserve">all-in-one</w:t>
      </w:r>
      <w:r>
        <w:t xml:space="preserve">”</w:t>
      </w:r>
      <w:r>
        <w:t xml:space="preserve"> </w:t>
      </w:r>
      <w:r>
        <w:t xml:space="preserve">claims and Dynatrace’s autonomous operations positioning</w:t>
      </w:r>
    </w:p>
    <w:p>
      <w:pPr>
        <w:numPr>
          <w:ilvl w:val="0"/>
          <w:numId w:val="1001"/>
        </w:numPr>
        <w:pStyle w:val="Compact"/>
      </w:pPr>
      <w:r>
        <w:rPr>
          <w:b/>
        </w:rPr>
        <w:t xml:space="preserve">Rationale</w:t>
      </w:r>
      <w:r>
        <w:t xml:space="preserve">: PostHog is aggressively targeting error monitoring customers with unified platform messaging, while Dynatrace is positioning beyond traditional observability. Sentry needs to own the unified observability narrative before competitors establish market leadership</w:t>
      </w:r>
    </w:p>
    <w:p>
      <w:pPr>
        <w:numPr>
          <w:ilvl w:val="0"/>
          <w:numId w:val="1001"/>
        </w:numPr>
        <w:pStyle w:val="Compact"/>
      </w:pPr>
      <w:r>
        <w:rPr>
          <w:b/>
        </w:rPr>
        <w:t xml:space="preserve">Estimated effort</w:t>
      </w:r>
      <w:r>
        <w:t xml:space="preserve">: 2-3 weeks</w:t>
      </w:r>
    </w:p>
    <w:p>
      <w:pPr>
        <w:numPr>
          <w:ilvl w:val="0"/>
          <w:numId w:val="1001"/>
        </w:numPr>
        <w:pStyle w:val="Compact"/>
      </w:pPr>
      <w:r>
        <w:rPr>
          <w:b/>
        </w:rPr>
        <w:t xml:space="preserve">Deadline</w:t>
      </w:r>
      <w:r>
        <w:t xml:space="preserve">: 3 weeks</w:t>
      </w:r>
    </w:p>
    <w:p>
      <w:pPr>
        <w:pStyle w:val="Heading3"/>
      </w:pPr>
      <w:bookmarkStart w:id="26" w:name="Xf76246b3ae145953fe617bf5d3d3ffe8481240a"/>
      <w:r>
        <w:t xml:space="preserve">2.</w:t>
      </w:r>
      <w:r>
        <w:t xml:space="preserve"> </w:t>
      </w:r>
      <w:r>
        <w:rPr>
          <w:b/>
        </w:rPr>
        <w:t xml:space="preserve">HIGH: Develop AI Debugging Differentiation Content</w:t>
      </w:r>
      <w:bookmarkEnd w:id="26"/>
    </w:p>
    <w:p>
      <w:pPr>
        <w:numPr>
          <w:ilvl w:val="0"/>
          <w:numId w:val="1002"/>
        </w:numPr>
        <w:pStyle w:val="Compact"/>
      </w:pPr>
      <w:r>
        <w:rPr>
          <w:b/>
        </w:rPr>
        <w:t xml:space="preserve">Priority</w:t>
      </w:r>
      <w:r>
        <w:t xml:space="preserve">: High</w:t>
      </w:r>
      <w:r>
        <w:br/>
      </w:r>
    </w:p>
    <w:p>
      <w:pPr>
        <w:numPr>
          <w:ilvl w:val="0"/>
          <w:numId w:val="1002"/>
        </w:numPr>
        <w:pStyle w:val="Compact"/>
      </w:pPr>
      <w:r>
        <w:rPr>
          <w:b/>
        </w:rPr>
        <w:t xml:space="preserve">Description</w:t>
      </w:r>
      <w:r>
        <w:t xml:space="preserve">: Create detailed comparison content showing how Seer’s development lifecycle coverage and flat pricing beats point solutions and usage-based AI tools, targeting the emerging AI debugging market</w:t>
      </w:r>
    </w:p>
    <w:p>
      <w:pPr>
        <w:numPr>
          <w:ilvl w:val="0"/>
          <w:numId w:val="1002"/>
        </w:numPr>
        <w:pStyle w:val="Compact"/>
      </w:pPr>
      <w:r>
        <w:rPr>
          <w:b/>
        </w:rPr>
        <w:t xml:space="preserve">Rationale</w:t>
      </w:r>
      <w:r>
        <w:t xml:space="preserve">: Multiple competitors are launching AI capabilities, but Sentry’s Seer has unique development lifecycle coverage. Need to establish thought leadership before this becomes commoditized</w:t>
      </w:r>
    </w:p>
    <w:p>
      <w:pPr>
        <w:numPr>
          <w:ilvl w:val="0"/>
          <w:numId w:val="1002"/>
        </w:numPr>
        <w:pStyle w:val="Compact"/>
      </w:pPr>
      <w:r>
        <w:rPr>
          <w:b/>
        </w:rPr>
        <w:t xml:space="preserve">Estimated effort</w:t>
      </w:r>
      <w:r>
        <w:t xml:space="preserve">: 1-2 weeks</w:t>
      </w:r>
    </w:p>
    <w:p>
      <w:pPr>
        <w:numPr>
          <w:ilvl w:val="0"/>
          <w:numId w:val="1002"/>
        </w:numPr>
        <w:pStyle w:val="Compact"/>
      </w:pPr>
      <w:r>
        <w:rPr>
          <w:b/>
        </w:rPr>
        <w:t xml:space="preserve">Deadline</w:t>
      </w:r>
      <w:r>
        <w:t xml:space="preserve">: 4 weeks</w:t>
      </w:r>
    </w:p>
    <w:p>
      <w:pPr>
        <w:pStyle w:val="Heading3"/>
      </w:pPr>
      <w:bookmarkStart w:id="27" w:name="Xe48f30e6700270906e92accf1ae535c728836dd"/>
      <w:r>
        <w:t xml:space="preserve">3.</w:t>
      </w:r>
      <w:r>
        <w:t xml:space="preserve"> </w:t>
      </w:r>
      <w:r>
        <w:rPr>
          <w:b/>
        </w:rPr>
        <w:t xml:space="preserve">HIGH: Counter PostHog’s Error Monitoring Claims</w:t>
      </w:r>
      <w:bookmarkEnd w:id="27"/>
    </w:p>
    <w:p>
      <w:pPr>
        <w:numPr>
          <w:ilvl w:val="0"/>
          <w:numId w:val="1003"/>
        </w:numPr>
        <w:pStyle w:val="Compact"/>
      </w:pPr>
      <w:r>
        <w:rPr>
          <w:b/>
        </w:rPr>
        <w:t xml:space="preserve">Priority</w:t>
      </w:r>
      <w:r>
        <w:t xml:space="preserve">: High</w:t>
      </w:r>
    </w:p>
    <w:p>
      <w:pPr>
        <w:numPr>
          <w:ilvl w:val="0"/>
          <w:numId w:val="1003"/>
        </w:numPr>
        <w:pStyle w:val="Compact"/>
      </w:pPr>
      <w:r>
        <w:rPr>
          <w:b/>
        </w:rPr>
        <w:t xml:space="preserve">Description</w:t>
      </w:r>
      <w:r>
        <w:t xml:space="preserve">: Launch competitive battlecard and content series highlighting Sentry’s purpose-built error monitoring superiority vs PostHog’s</w:t>
      </w:r>
      <w:r>
        <w:t xml:space="preserve"> </w:t>
      </w:r>
      <w:r>
        <w:t xml:space="preserve">“</w:t>
      </w:r>
      <w:r>
        <w:t xml:space="preserve">logs as final destination</w:t>
      </w:r>
      <w:r>
        <w:t xml:space="preserve">”</w:t>
      </w:r>
      <w:r>
        <w:t xml:space="preserve"> </w:t>
      </w:r>
      <w:r>
        <w:t xml:space="preserve">positioning, emphasizing depth vs breadth trade-offs</w:t>
      </w:r>
    </w:p>
    <w:p>
      <w:pPr>
        <w:numPr>
          <w:ilvl w:val="0"/>
          <w:numId w:val="1003"/>
        </w:numPr>
        <w:pStyle w:val="Compact"/>
      </w:pPr>
      <w:r>
        <w:rPr>
          <w:b/>
        </w:rPr>
        <w:t xml:space="preserve">Rationale</w:t>
      </w:r>
      <w:r>
        <w:t xml:space="preserve">: PostHog is directly targeting Sentry’s core market with unified debugging claims. Need to defend core error monitoring positioning while advancing unified platform narrative</w:t>
      </w:r>
    </w:p>
    <w:p>
      <w:pPr>
        <w:numPr>
          <w:ilvl w:val="0"/>
          <w:numId w:val="1003"/>
        </w:numPr>
        <w:pStyle w:val="Compact"/>
      </w:pPr>
      <w:r>
        <w:rPr>
          <w:b/>
        </w:rPr>
        <w:t xml:space="preserve">Estimated effort</w:t>
      </w:r>
      <w:r>
        <w:t xml:space="preserve">: 1 week</w:t>
      </w:r>
    </w:p>
    <w:p>
      <w:pPr>
        <w:numPr>
          <w:ilvl w:val="0"/>
          <w:numId w:val="1003"/>
        </w:numPr>
        <w:pStyle w:val="Compact"/>
      </w:pPr>
      <w:r>
        <w:rPr>
          <w:b/>
        </w:rPr>
        <w:t xml:space="preserve">Deadline</w:t>
      </w:r>
      <w:r>
        <w:t xml:space="preserve">: 2 weeks</w:t>
      </w:r>
    </w:p>
    <w:p>
      <w:pPr>
        <w:pStyle w:val="Heading3"/>
      </w:pPr>
      <w:bookmarkStart w:id="28" w:name="X17e42dc9a173de238435c9838faabec77b62563"/>
      <w:r>
        <w:t xml:space="preserve">4.</w:t>
      </w:r>
      <w:r>
        <w:t xml:space="preserve"> </w:t>
      </w:r>
      <w:r>
        <w:rPr>
          <w:b/>
        </w:rPr>
        <w:t xml:space="preserve">MEDIUM: Create Enterprise AI Observability Thought Leadership</w:t>
      </w:r>
      <w:bookmarkEnd w:id="28"/>
    </w:p>
    <w:p>
      <w:pPr>
        <w:numPr>
          <w:ilvl w:val="0"/>
          <w:numId w:val="1004"/>
        </w:numPr>
        <w:pStyle w:val="Compact"/>
      </w:pPr>
      <w:r>
        <w:rPr>
          <w:b/>
        </w:rPr>
        <w:t xml:space="preserve">Priority</w:t>
      </w:r>
      <w:r>
        <w:t xml:space="preserve">: Medium</w:t>
      </w:r>
    </w:p>
    <w:p>
      <w:pPr>
        <w:numPr>
          <w:ilvl w:val="0"/>
          <w:numId w:val="1004"/>
        </w:numPr>
        <w:pStyle w:val="Compact"/>
      </w:pPr>
      <w:r>
        <w:rPr>
          <w:b/>
        </w:rPr>
        <w:t xml:space="preserve">Description</w:t>
      </w:r>
      <w:r>
        <w:t xml:space="preserve">: Develop enterprise-focused content on AI application monitoring and autonomous operations to compete with Dynatrace’s agentic AI positioning, showcasing Sentry’s AI debugging capabilities for production AI applications</w:t>
      </w:r>
    </w:p>
    <w:p>
      <w:pPr>
        <w:numPr>
          <w:ilvl w:val="0"/>
          <w:numId w:val="1004"/>
        </w:numPr>
        <w:pStyle w:val="Compact"/>
      </w:pPr>
      <w:r>
        <w:rPr>
          <w:b/>
        </w:rPr>
        <w:t xml:space="preserve">Rationale</w:t>
      </w:r>
      <w:r>
        <w:t xml:space="preserve">: Dynatrace is claiming leadership in AI observability for enterprises. Sentry should position their AI debugging and error monitoring as essential for reliable AI applications</w:t>
      </w:r>
    </w:p>
    <w:p>
      <w:pPr>
        <w:numPr>
          <w:ilvl w:val="0"/>
          <w:numId w:val="1004"/>
        </w:numPr>
        <w:pStyle w:val="Compact"/>
      </w:pPr>
      <w:r>
        <w:rPr>
          <w:b/>
        </w:rPr>
        <w:t xml:space="preserve">Estimated effort</w:t>
      </w:r>
      <w:r>
        <w:t xml:space="preserve">: 2-3 weeks</w:t>
      </w:r>
      <w:r>
        <w:br/>
      </w:r>
    </w:p>
    <w:p>
      <w:pPr>
        <w:numPr>
          <w:ilvl w:val="0"/>
          <w:numId w:val="1004"/>
        </w:numPr>
        <w:pStyle w:val="Compact"/>
      </w:pPr>
      <w:r>
        <w:rPr>
          <w:b/>
        </w:rPr>
        <w:t xml:space="preserve">Deadline</w:t>
      </w:r>
      <w:r>
        <w:t xml:space="preserve">: 6 weeks</w:t>
      </w:r>
    </w:p>
    <w:p>
      <w:pPr>
        <w:pStyle w:val="Heading3"/>
      </w:pPr>
      <w:bookmarkStart w:id="29" w:name="Xbfe7c6ff5d249a5effe55c0cd47469915f842b1"/>
      <w:r>
        <w:t xml:space="preserve">5.</w:t>
      </w:r>
      <w:r>
        <w:t xml:space="preserve"> </w:t>
      </w:r>
      <w:r>
        <w:rPr>
          <w:b/>
        </w:rPr>
        <w:t xml:space="preserve">MEDIUM: Optimize Pricing Messaging Against Competitors</w:t>
      </w:r>
      <w:bookmarkEnd w:id="29"/>
    </w:p>
    <w:p>
      <w:pPr>
        <w:numPr>
          <w:ilvl w:val="0"/>
          <w:numId w:val="1005"/>
        </w:numPr>
        <w:pStyle w:val="Compact"/>
      </w:pPr>
      <w:r>
        <w:rPr>
          <w:b/>
        </w:rPr>
        <w:t xml:space="preserve">Priority</w:t>
      </w:r>
      <w:r>
        <w:t xml:space="preserve">: Medium</w:t>
      </w:r>
    </w:p>
    <w:p>
      <w:pPr>
        <w:numPr>
          <w:ilvl w:val="0"/>
          <w:numId w:val="1005"/>
        </w:numPr>
        <w:pStyle w:val="Compact"/>
      </w:pPr>
      <w:r>
        <w:rPr>
          <w:b/>
        </w:rPr>
        <w:t xml:space="preserve">Description</w:t>
      </w:r>
      <w:r>
        <w:t xml:space="preserve">: Update pricing pages and sales materials to directly address PostHog’s</w:t>
      </w:r>
      <w:r>
        <w:t xml:space="preserve"> </w:t>
      </w:r>
      <w:r>
        <w:t xml:space="preserve">“</w:t>
      </w:r>
      <w:r>
        <w:t xml:space="preserve">80% cost savings</w:t>
      </w:r>
      <w:r>
        <w:t xml:space="preserve">”</w:t>
      </w:r>
      <w:r>
        <w:t xml:space="preserve"> </w:t>
      </w:r>
      <w:r>
        <w:t xml:space="preserve">claims and highlight Sentry’s predictable pricing vs usage-based models, emphasizing value per dollar</w:t>
      </w:r>
    </w:p>
    <w:p>
      <w:pPr>
        <w:numPr>
          <w:ilvl w:val="0"/>
          <w:numId w:val="1005"/>
        </w:numPr>
        <w:pStyle w:val="Compact"/>
      </w:pPr>
      <w:r>
        <w:rPr>
          <w:b/>
        </w:rPr>
        <w:t xml:space="preserve">Rationale</w:t>
      </w:r>
      <w:r>
        <w:t xml:space="preserve">: PostHog is using aggressive pricing as a competitive weapon. Sentry needs clear value-based pricing messaging to counter cost-focused objections</w:t>
      </w:r>
    </w:p>
    <w:p>
      <w:pPr>
        <w:numPr>
          <w:ilvl w:val="0"/>
          <w:numId w:val="1005"/>
        </w:numPr>
        <w:pStyle w:val="Compact"/>
      </w:pPr>
      <w:r>
        <w:rPr>
          <w:b/>
        </w:rPr>
        <w:t xml:space="preserve">Estimated effort</w:t>
      </w:r>
      <w:r>
        <w:t xml:space="preserve">: 1 week</w:t>
      </w:r>
    </w:p>
    <w:p>
      <w:pPr>
        <w:numPr>
          <w:ilvl w:val="0"/>
          <w:numId w:val="1005"/>
        </w:numPr>
        <w:pStyle w:val="Compact"/>
      </w:pPr>
      <w:r>
        <w:rPr>
          <w:b/>
        </w:rPr>
        <w:t xml:space="preserve">Deadline</w:t>
      </w:r>
      <w:r>
        <w:t xml:space="preserve">: 4 weeks</w:t>
      </w:r>
    </w:p>
    <w:p>
      <w:pPr>
        <w:pStyle w:val="Heading2"/>
      </w:pPr>
      <w:bookmarkStart w:id="30" w:name="competitive-insights"/>
      <w:r>
        <w:t xml:space="preserve">COMPETITIVE INSIGHTS</w:t>
      </w:r>
      <w:bookmarkEnd w:id="30"/>
    </w:p>
    <w:p>
      <w:pPr>
        <w:pStyle w:val="Heading3"/>
      </w:pPr>
      <w:bookmarkStart w:id="31" w:name="Xea99fa3557f1940b0985945796bd0da07de4e60"/>
      <w:r>
        <w:t xml:space="preserve">1.</w:t>
      </w:r>
      <w:r>
        <w:t xml:space="preserve"> </w:t>
      </w:r>
      <w:r>
        <w:rPr>
          <w:b/>
        </w:rPr>
        <w:t xml:space="preserve">PostHog - Logs Launch as</w:t>
      </w:r>
      <w:r>
        <w:rPr>
          <w:b/>
        </w:rPr>
        <w:t xml:space="preserve"> </w:t>
      </w:r>
      <w:r>
        <w:rPr>
          <w:b/>
        </w:rPr>
        <w:t xml:space="preserve">“</w:t>
      </w:r>
      <w:r>
        <w:rPr>
          <w:b/>
        </w:rPr>
        <w:t xml:space="preserve">Final Destination</w:t>
      </w:r>
      <w:r>
        <w:rPr>
          <w:b/>
        </w:rPr>
        <w:t xml:space="preserve">”</w:t>
      </w:r>
      <w:bookmarkEnd w:id="31"/>
    </w:p>
    <w:p>
      <w:pPr>
        <w:numPr>
          <w:ilvl w:val="0"/>
          <w:numId w:val="1006"/>
        </w:numPr>
        <w:pStyle w:val="Compact"/>
      </w:pPr>
      <w:r>
        <w:rPr>
          <w:b/>
        </w:rPr>
        <w:t xml:space="preserve">What they did</w:t>
      </w:r>
      <w:r>
        <w:t xml:space="preserve">: Launched logs with OpenTelemetry ingestion, positioning as the unified debugging endpoint that eliminates tool switching</w:t>
      </w:r>
    </w:p>
    <w:p>
      <w:pPr>
        <w:numPr>
          <w:ilvl w:val="0"/>
          <w:numId w:val="1006"/>
        </w:numPr>
        <w:pStyle w:val="Compact"/>
      </w:pPr>
      <w:r>
        <w:rPr>
          <w:b/>
        </w:rPr>
        <w:t xml:space="preserve">Why it matters</w:t>
      </w:r>
      <w:r>
        <w:t xml:space="preserve">: Direct attack on Sentry’s error monitoring + logs positioning, claiming to be where developers</w:t>
      </w:r>
      <w:r>
        <w:t xml:space="preserve"> </w:t>
      </w:r>
      <w:r>
        <w:t xml:space="preserve">“</w:t>
      </w:r>
      <w:r>
        <w:t xml:space="preserve">always end up anyway</w:t>
      </w:r>
      <w:r>
        <w:t xml:space="preserve">”</w:t>
      </w:r>
    </w:p>
    <w:p>
      <w:pPr>
        <w:numPr>
          <w:ilvl w:val="0"/>
          <w:numId w:val="1006"/>
        </w:numPr>
        <w:pStyle w:val="Compact"/>
      </w:pPr>
      <w:r>
        <w:rPr>
          <w:b/>
        </w:rPr>
        <w:t xml:space="preserve">Our response</w:t>
      </w:r>
      <w:r>
        <w:t xml:space="preserve">: Create</w:t>
      </w:r>
      <w:r>
        <w:t xml:space="preserve"> </w:t>
      </w:r>
      <w:r>
        <w:t xml:space="preserve">“</w:t>
      </w:r>
      <w:r>
        <w:t xml:space="preserve">Purpose-Built vs Patchwork</w:t>
      </w:r>
      <w:r>
        <w:t xml:space="preserve">”</w:t>
      </w:r>
      <w:r>
        <w:t xml:space="preserve"> </w:t>
      </w:r>
      <w:r>
        <w:t xml:space="preserve">campaign showing how Sentry’s integrated approach beats PostHog’s analytics-first platform for serious debugging workflows</w:t>
      </w:r>
    </w:p>
    <w:p>
      <w:pPr>
        <w:numPr>
          <w:ilvl w:val="0"/>
          <w:numId w:val="1006"/>
        </w:numPr>
        <w:pStyle w:val="Compact"/>
      </w:pPr>
      <w:r>
        <w:rPr>
          <w:b/>
        </w:rPr>
        <w:t xml:space="preserve">Metrics</w:t>
      </w:r>
      <w:r>
        <w:t xml:space="preserve">: Track</w:t>
      </w:r>
      <w:r>
        <w:t xml:space="preserve"> </w:t>
      </w:r>
      <w:r>
        <w:t xml:space="preserve">“</w:t>
      </w:r>
      <w:r>
        <w:t xml:space="preserve">Sentry vs PostHog</w:t>
      </w:r>
      <w:r>
        <w:t xml:space="preserve">”</w:t>
      </w:r>
      <w:r>
        <w:t xml:space="preserve"> </w:t>
      </w:r>
      <w:r>
        <w:t xml:space="preserve">search volume, competitive deal win/loss rates, customer churn to PostHog</w:t>
      </w:r>
    </w:p>
    <w:p>
      <w:pPr>
        <w:pStyle w:val="Heading3"/>
      </w:pPr>
      <w:bookmarkStart w:id="32" w:name="X4251b31bb3c2281e97def3b30340cf1515c41e6"/>
      <w:r>
        <w:t xml:space="preserve">2.</w:t>
      </w:r>
      <w:r>
        <w:t xml:space="preserve"> </w:t>
      </w:r>
      <w:r>
        <w:rPr>
          <w:b/>
        </w:rPr>
        <w:t xml:space="preserve">Dynatrace - Agentic Operations Platform Evolution</w:t>
      </w:r>
      <w:bookmarkEnd w:id="32"/>
    </w:p>
    <w:p>
      <w:pPr>
        <w:numPr>
          <w:ilvl w:val="0"/>
          <w:numId w:val="1007"/>
        </w:numPr>
        <w:pStyle w:val="Compact"/>
      </w:pPr>
      <w:r>
        <w:rPr>
          <w:b/>
        </w:rPr>
        <w:t xml:space="preserve">What they did</w:t>
      </w:r>
      <w:r>
        <w:t xml:space="preserve">: Repositioned from observability to</w:t>
      </w:r>
      <w:r>
        <w:t xml:space="preserve"> </w:t>
      </w:r>
      <w:r>
        <w:t xml:space="preserve">“</w:t>
      </w:r>
      <w:r>
        <w:t xml:space="preserve">agentic operations platform</w:t>
      </w:r>
      <w:r>
        <w:t xml:space="preserve">”</w:t>
      </w:r>
      <w:r>
        <w:t xml:space="preserve"> </w:t>
      </w:r>
      <w:r>
        <w:t xml:space="preserve">with autonomous AI agents for proactive operations</w:t>
      </w:r>
    </w:p>
    <w:p>
      <w:pPr>
        <w:numPr>
          <w:ilvl w:val="0"/>
          <w:numId w:val="1007"/>
        </w:numPr>
        <w:pStyle w:val="Compact"/>
      </w:pPr>
      <w:r>
        <w:rPr>
          <w:b/>
        </w:rPr>
        <w:t xml:space="preserve">Why it matters</w:t>
      </w:r>
      <w:r>
        <w:t xml:space="preserve">: Establishes new market category beyond traditional observability, potentially making current positioning seem outdated</w:t>
      </w:r>
    </w:p>
    <w:p>
      <w:pPr>
        <w:numPr>
          <w:ilvl w:val="0"/>
          <w:numId w:val="1007"/>
        </w:numPr>
        <w:pStyle w:val="Compact"/>
      </w:pPr>
      <w:r>
        <w:rPr>
          <w:b/>
        </w:rPr>
        <w:t xml:space="preserve">Our response</w:t>
      </w:r>
      <w:r>
        <w:t xml:space="preserve">: Develop</w:t>
      </w:r>
      <w:r>
        <w:t xml:space="preserve"> </w:t>
      </w:r>
      <w:r>
        <w:t xml:space="preserve">“</w:t>
      </w:r>
      <w:r>
        <w:t xml:space="preserve">Developer-First AI Observability</w:t>
      </w:r>
      <w:r>
        <w:t xml:space="preserve">”</w:t>
      </w:r>
      <w:r>
        <w:t xml:space="preserve"> </w:t>
      </w:r>
      <w:r>
        <w:t xml:space="preserve">positioning that contrasts Sentry’s developer workflow focus vs Dynatrace’s enterprise operations complexity</w:t>
      </w:r>
    </w:p>
    <w:p>
      <w:pPr>
        <w:numPr>
          <w:ilvl w:val="0"/>
          <w:numId w:val="1007"/>
        </w:numPr>
        <w:pStyle w:val="Compact"/>
      </w:pPr>
      <w:r>
        <w:rPr>
          <w:b/>
        </w:rPr>
        <w:t xml:space="preserve">Metrics</w:t>
      </w:r>
      <w:r>
        <w:t xml:space="preserve">: Monitor enterprise deal pipeline,</w:t>
      </w:r>
      <w:r>
        <w:t xml:space="preserve"> </w:t>
      </w:r>
      <w:r>
        <w:t xml:space="preserve">“</w:t>
      </w:r>
      <w:r>
        <w:t xml:space="preserve">autonomous operations</w:t>
      </w:r>
      <w:r>
        <w:t xml:space="preserve">”</w:t>
      </w:r>
      <w:r>
        <w:t xml:space="preserve"> </w:t>
      </w:r>
      <w:r>
        <w:t xml:space="preserve">vs</w:t>
      </w:r>
      <w:r>
        <w:t xml:space="preserve"> </w:t>
      </w:r>
      <w:r>
        <w:t xml:space="preserve">“</w:t>
      </w:r>
      <w:r>
        <w:t xml:space="preserve">developer observability</w:t>
      </w:r>
      <w:r>
        <w:t xml:space="preserve">”</w:t>
      </w:r>
      <w:r>
        <w:t xml:space="preserve"> </w:t>
      </w:r>
      <w:r>
        <w:t xml:space="preserve">search trends</w:t>
      </w:r>
    </w:p>
    <w:p>
      <w:pPr>
        <w:pStyle w:val="Heading3"/>
      </w:pPr>
      <w:bookmarkStart w:id="33" w:name="X48f131091f76cb14796cd0fdcc416ea06936061"/>
      <w:r>
        <w:t xml:space="preserve">3.</w:t>
      </w:r>
      <w:r>
        <w:t xml:space="preserve"> </w:t>
      </w:r>
      <w:r>
        <w:rPr>
          <w:b/>
        </w:rPr>
        <w:t xml:space="preserve">PostHog - Aggressive Mixpanel Competitive Targeting</w:t>
      </w:r>
      <w:bookmarkEnd w:id="33"/>
    </w:p>
    <w:p>
      <w:pPr>
        <w:numPr>
          <w:ilvl w:val="0"/>
          <w:numId w:val="1008"/>
        </w:numPr>
        <w:pStyle w:val="Compact"/>
      </w:pPr>
      <w:r>
        <w:rPr>
          <w:b/>
        </w:rPr>
        <w:t xml:space="preserve">What they did</w:t>
      </w:r>
      <w:r>
        <w:t xml:space="preserve">: Published detailed Mixpanel comparison highlighting 80% cost savings and all-in-one platform advantages</w:t>
      </w:r>
    </w:p>
    <w:p>
      <w:pPr>
        <w:numPr>
          <w:ilvl w:val="0"/>
          <w:numId w:val="1008"/>
        </w:numPr>
        <w:pStyle w:val="Compact"/>
      </w:pPr>
      <w:r>
        <w:rPr>
          <w:b/>
        </w:rPr>
        <w:t xml:space="preserve">Why it matters</w:t>
      </w:r>
      <w:r>
        <w:t xml:space="preserve">: Demonstrates PostHog’s systematic approach to competitive displacement and may apply same strategy to Sentry</w:t>
      </w:r>
    </w:p>
    <w:p>
      <w:pPr>
        <w:numPr>
          <w:ilvl w:val="0"/>
          <w:numId w:val="1008"/>
        </w:numPr>
        <w:pStyle w:val="Compact"/>
      </w:pPr>
      <w:r>
        <w:rPr>
          <w:b/>
        </w:rPr>
        <w:t xml:space="preserve">Our response</w:t>
      </w:r>
      <w:r>
        <w:t xml:space="preserve">: Preemptively create</w:t>
      </w:r>
      <w:r>
        <w:t xml:space="preserve"> </w:t>
      </w:r>
      <w:r>
        <w:t xml:space="preserve">“</w:t>
      </w:r>
      <w:r>
        <w:t xml:space="preserve">PostHog vs Sentry</w:t>
      </w:r>
      <w:r>
        <w:t xml:space="preserve">”</w:t>
      </w:r>
      <w:r>
        <w:t xml:space="preserve"> </w:t>
      </w:r>
      <w:r>
        <w:t xml:space="preserve">comparison content controlling the narrative around purpose-built error monitoring vs general analytics platforms</w:t>
      </w:r>
    </w:p>
    <w:p>
      <w:pPr>
        <w:numPr>
          <w:ilvl w:val="0"/>
          <w:numId w:val="1008"/>
        </w:numPr>
        <w:pStyle w:val="Compact"/>
      </w:pPr>
      <w:r>
        <w:rPr>
          <w:b/>
        </w:rPr>
        <w:t xml:space="preserve">Metrics</w:t>
      </w:r>
      <w:r>
        <w:t xml:space="preserve">: Track</w:t>
      </w:r>
      <w:r>
        <w:t xml:space="preserve"> </w:t>
      </w:r>
      <w:r>
        <w:t xml:space="preserve">“</w:t>
      </w:r>
      <w:r>
        <w:t xml:space="preserve">PostHog vs Sentry</w:t>
      </w:r>
      <w:r>
        <w:t xml:space="preserve">”</w:t>
      </w:r>
      <w:r>
        <w:t xml:space="preserve"> </w:t>
      </w:r>
      <w:r>
        <w:t xml:space="preserve">search volume, direct competitive mentions, sales objection frequency</w:t>
      </w:r>
    </w:p>
    <w:p>
      <w:pPr>
        <w:pStyle w:val="Heading3"/>
      </w:pPr>
      <w:bookmarkStart w:id="34" w:name="Xf27f17e96e0dd35a27ed8e880cee7234ac65761"/>
      <w:r>
        <w:t xml:space="preserve">4.</w:t>
      </w:r>
      <w:r>
        <w:t xml:space="preserve"> </w:t>
      </w:r>
      <w:r>
        <w:rPr>
          <w:b/>
        </w:rPr>
        <w:t xml:space="preserve">New Relic - AIOps Firefighting Crisis Positioning</w:t>
      </w:r>
      <w:bookmarkEnd w:id="34"/>
    </w:p>
    <w:p>
      <w:pPr>
        <w:numPr>
          <w:ilvl w:val="0"/>
          <w:numId w:val="1009"/>
        </w:numPr>
        <w:pStyle w:val="Compact"/>
      </w:pPr>
      <w:r>
        <w:rPr>
          <w:b/>
        </w:rPr>
        <w:t xml:space="preserve">What they did</w:t>
      </w:r>
      <w:r>
        <w:t xml:space="preserve">: Published research positioning AIOps as solution to engineering productivity</w:t>
      </w:r>
      <w:r>
        <w:t xml:space="preserve"> </w:t>
      </w:r>
      <w:r>
        <w:t xml:space="preserve">“</w:t>
      </w:r>
      <w:r>
        <w:t xml:space="preserve">firefighting</w:t>
      </w:r>
      <w:r>
        <w:t xml:space="preserve">”</w:t>
      </w:r>
      <w:r>
        <w:t xml:space="preserve"> </w:t>
      </w:r>
      <w:r>
        <w:t xml:space="preserve">crisis with AI-driven efficiency</w:t>
      </w:r>
    </w:p>
    <w:p>
      <w:pPr>
        <w:numPr>
          <w:ilvl w:val="0"/>
          <w:numId w:val="1009"/>
        </w:numPr>
        <w:pStyle w:val="Compact"/>
      </w:pPr>
      <w:r>
        <w:rPr>
          <w:b/>
        </w:rPr>
        <w:t xml:space="preserve">Why it matters</w:t>
      </w:r>
      <w:r>
        <w:t xml:space="preserve">: Frames observability as engineering productivity solution rather than just monitoring, potentially expanding market positioning</w:t>
      </w:r>
    </w:p>
    <w:p>
      <w:pPr>
        <w:numPr>
          <w:ilvl w:val="0"/>
          <w:numId w:val="1009"/>
        </w:numPr>
        <w:pStyle w:val="Compact"/>
      </w:pPr>
      <w:r>
        <w:rPr>
          <w:b/>
        </w:rPr>
        <w:t xml:space="preserve">Our response</w:t>
      </w:r>
      <w:r>
        <w:t xml:space="preserve">: Create developer productivity content showing how Sentry’s AI debugging and unified platform reduces context switching and speeds resolution</w:t>
      </w:r>
    </w:p>
    <w:p>
      <w:pPr>
        <w:numPr>
          <w:ilvl w:val="0"/>
          <w:numId w:val="1009"/>
        </w:numPr>
        <w:pStyle w:val="Compact"/>
      </w:pPr>
      <w:r>
        <w:rPr>
          <w:b/>
        </w:rPr>
        <w:t xml:space="preserve">Metrics</w:t>
      </w:r>
      <w:r>
        <w:t xml:space="preserve">: Monitor developer productivity content engagement,</w:t>
      </w:r>
      <w:r>
        <w:t xml:space="preserve"> </w:t>
      </w:r>
      <w:r>
        <w:t xml:space="preserve">“</w:t>
      </w:r>
      <w:r>
        <w:t xml:space="preserve">firefighting</w:t>
      </w:r>
      <w:r>
        <w:t xml:space="preserve">”</w:t>
      </w:r>
      <w:r>
        <w:t xml:space="preserve"> </w:t>
      </w:r>
      <w:r>
        <w:t xml:space="preserve">+ observability search trends</w:t>
      </w:r>
    </w:p>
    <w:p>
      <w:pPr>
        <w:pStyle w:val="Heading3"/>
      </w:pPr>
      <w:bookmarkStart w:id="35" w:name="X500346450fc85d48d4fbf30b7e19b04c08c6bf3"/>
      <w:r>
        <w:t xml:space="preserve">5.</w:t>
      </w:r>
      <w:r>
        <w:t xml:space="preserve"> </w:t>
      </w:r>
      <w:r>
        <w:rPr>
          <w:b/>
        </w:rPr>
        <w:t xml:space="preserve">Dynatrace - Amazon Bedrock MCP Integration</w:t>
      </w:r>
      <w:bookmarkEnd w:id="35"/>
    </w:p>
    <w:p>
      <w:pPr>
        <w:numPr>
          <w:ilvl w:val="0"/>
          <w:numId w:val="1010"/>
        </w:numPr>
        <w:pStyle w:val="Compact"/>
      </w:pPr>
      <w:r>
        <w:rPr>
          <w:b/>
        </w:rPr>
        <w:t xml:space="preserve">What they did</w:t>
      </w:r>
      <w:r>
        <w:t xml:space="preserve">: Became first AWS partner to integrate with Bedrock AgentCore Gateway, enabling AI agents to access observability data directly</w:t>
      </w:r>
    </w:p>
    <w:p>
      <w:pPr>
        <w:numPr>
          <w:ilvl w:val="0"/>
          <w:numId w:val="1010"/>
        </w:numPr>
        <w:pStyle w:val="Compact"/>
      </w:pPr>
      <w:r>
        <w:rPr>
          <w:b/>
        </w:rPr>
        <w:t xml:space="preserve">Why it matters</w:t>
      </w:r>
      <w:r>
        <w:t xml:space="preserve">: Establishes first-mover advantage in AI-observability integration and positions observability data as</w:t>
      </w:r>
      <w:r>
        <w:t xml:space="preserve"> </w:t>
      </w:r>
      <w:r>
        <w:t xml:space="preserve">“</w:t>
      </w:r>
      <w:r>
        <w:t xml:space="preserve">fuel</w:t>
      </w:r>
      <w:r>
        <w:t xml:space="preserve">”</w:t>
      </w:r>
      <w:r>
        <w:t xml:space="preserve"> </w:t>
      </w:r>
      <w:r>
        <w:t xml:space="preserve">for AI agents</w:t>
      </w:r>
    </w:p>
    <w:p>
      <w:pPr>
        <w:numPr>
          <w:ilvl w:val="0"/>
          <w:numId w:val="1010"/>
        </w:numPr>
        <w:pStyle w:val="Compact"/>
      </w:pPr>
      <w:r>
        <w:rPr>
          <w:b/>
        </w:rPr>
        <w:t xml:space="preserve">Our response</w:t>
      </w:r>
      <w:r>
        <w:t xml:space="preserve">: Develop partnerships with AI development platforms and create content on</w:t>
      </w:r>
      <w:r>
        <w:t xml:space="preserve"> </w:t>
      </w:r>
      <w:r>
        <w:t xml:space="preserve">“</w:t>
      </w:r>
      <w:r>
        <w:t xml:space="preserve">AI Application Reliability</w:t>
      </w:r>
      <w:r>
        <w:t xml:space="preserve">”</w:t>
      </w:r>
      <w:r>
        <w:t xml:space="preserve"> </w:t>
      </w:r>
      <w:r>
        <w:t xml:space="preserve">positioning Sentry as essential for AI app monitoring</w:t>
      </w:r>
    </w:p>
    <w:p>
      <w:pPr>
        <w:numPr>
          <w:ilvl w:val="0"/>
          <w:numId w:val="1010"/>
        </w:numPr>
        <w:pStyle w:val="Compact"/>
      </w:pPr>
      <w:r>
        <w:rPr>
          <w:b/>
        </w:rPr>
        <w:t xml:space="preserve">Metrics</w:t>
      </w:r>
      <w:r>
        <w:t xml:space="preserve">: Track AI application monitoring market growth, partnership pipeline with AI platforms, enterprise AI customer acquisition</w:t>
      </w:r>
    </w:p>
    <w:p>
      <w:r>
        <w:pict>
          <v:rect style="width:0;height:1.5pt" o:hralign="center" o:hrstd="t" o:hr="t"/>
        </w:pict>
      </w:r>
    </w:p>
    <w:p>
      <w:pPr>
        <w:pStyle w:val="Heading2"/>
      </w:pPr>
      <w:bookmarkStart w:id="36" w:name="priority-actions-1"/>
      <w:r>
        <w:t xml:space="preserve">🎯 Priority Actions</w:t>
      </w:r>
      <w:bookmarkEnd w:id="36"/>
    </w:p>
    <w:p>
      <w:pPr>
        <w:pStyle w:val="Heading3"/>
      </w:pPr>
      <w:bookmarkStart w:id="37" w:name="create-competitive-response-content"/>
      <w:r>
        <w:t xml:space="preserve">🟠 1. Create competitive response content</w:t>
      </w:r>
      <w:bookmarkEnd w:id="37"/>
    </w:p>
    <w:p>
      <w:pPr>
        <w:pStyle w:val="FirstParagraph"/>
      </w:pPr>
      <w:r>
        <w:rPr>
          <w:b/>
        </w:rPr>
        <w:t xml:space="preserve">Priority:</w:t>
      </w:r>
      <w:r>
        <w:t xml:space="preserve"> </w:t>
      </w:r>
      <w:r>
        <w:t xml:space="preserve">HIGH</w:t>
      </w:r>
    </w:p>
    <w:p>
      <w:pPr>
        <w:pStyle w:val="BodyText"/>
      </w:pPr>
      <w:r>
        <w:rPr>
          <w:b/>
        </w:rPr>
        <w:t xml:space="preserve">What to do:</w:t>
      </w:r>
      <w:r>
        <w:t xml:space="preserve"> </w:t>
      </w:r>
      <w:r>
        <w:t xml:space="preserve">Develop blog posts, comparison pages, or battlecards addressing 79 new features from competitors</w:t>
      </w:r>
    </w:p>
    <w:p>
      <w:pPr>
        <w:pStyle w:val="BodyText"/>
      </w:pPr>
      <w:r>
        <w:rPr>
          <w:b/>
        </w:rPr>
        <w:t xml:space="preserve">Why:</w:t>
      </w:r>
      <w:r>
        <w:t xml:space="preserve"> </w:t>
      </w:r>
      <w:r>
        <w:t xml:space="preserve">Prospects will be asking about these capabilities in sales conversations</w:t>
      </w:r>
    </w:p>
    <w:p>
      <w:pPr>
        <w:pStyle w:val="BodyText"/>
      </w:pPr>
      <w:r>
        <w:rPr>
          <w:b/>
        </w:rPr>
        <w:t xml:space="preserve">Effort:</w:t>
      </w:r>
      <w:r>
        <w:t xml:space="preserve"> </w:t>
      </w:r>
      <w:r>
        <w:t xml:space="preserve">2 weeks</w:t>
      </w:r>
    </w:p>
    <w:p>
      <w:pPr>
        <w:pStyle w:val="BodyText"/>
      </w:pPr>
      <w:r>
        <w:rPr>
          <w:b/>
        </w:rPr>
        <w:t xml:space="preserve">Deadline:</w:t>
      </w:r>
      <w:r>
        <w:t xml:space="preserve"> </w:t>
      </w:r>
      <w:r>
        <w:t xml:space="preserve">2026-02-15</w:t>
      </w:r>
    </w:p>
    <w:p>
      <w:r>
        <w:pict>
          <v:rect style="width:0;height:1.5pt" o:hralign="center" o:hrstd="t" o:hr="t"/>
        </w:pict>
      </w:r>
    </w:p>
    <w:p>
      <w:pPr>
        <w:pStyle w:val="Heading3"/>
      </w:pPr>
      <w:bookmarkStart w:id="38" w:name="review-competitive-pricing-strategy"/>
      <w:r>
        <w:t xml:space="preserve">🟠 2. Review competitive pricing strategy</w:t>
      </w:r>
      <w:bookmarkEnd w:id="38"/>
    </w:p>
    <w:p>
      <w:pPr>
        <w:pStyle w:val="FirstParagraph"/>
      </w:pPr>
      <w:r>
        <w:rPr>
          <w:b/>
        </w:rPr>
        <w:t xml:space="preserve">Priority:</w:t>
      </w:r>
      <w:r>
        <w:t xml:space="preserve"> </w:t>
      </w:r>
      <w:r>
        <w:t xml:space="preserve">HIGH</w:t>
      </w:r>
    </w:p>
    <w:p>
      <w:pPr>
        <w:pStyle w:val="BodyText"/>
      </w:pPr>
      <w:r>
        <w:rPr>
          <w:b/>
        </w:rPr>
        <w:t xml:space="preserve">What to do:</w:t>
      </w:r>
      <w:r>
        <w:t xml:space="preserve"> </w:t>
      </w:r>
      <w:r>
        <w:t xml:space="preserve">Analyze competitor pricing changes and update our pricing page messaging</w:t>
      </w:r>
    </w:p>
    <w:p>
      <w:pPr>
        <w:pStyle w:val="BodyText"/>
      </w:pPr>
      <w:r>
        <w:rPr>
          <w:b/>
        </w:rPr>
        <w:t xml:space="preserve">Why:</w:t>
      </w:r>
      <w:r>
        <w:t xml:space="preserve"> </w:t>
      </w:r>
      <w:r>
        <w:t xml:space="preserve">6 competitors made pricing-related announcements</w:t>
      </w:r>
    </w:p>
    <w:p>
      <w:pPr>
        <w:pStyle w:val="BodyText"/>
      </w:pPr>
      <w:r>
        <w:rPr>
          <w:b/>
        </w:rPr>
        <w:t xml:space="preserve">Effort:</w:t>
      </w:r>
      <w:r>
        <w:t xml:space="preserve"> </w:t>
      </w:r>
      <w:r>
        <w:t xml:space="preserve">3 days</w:t>
      </w:r>
    </w:p>
    <w:p>
      <w:r>
        <w:pict>
          <v:rect style="width:0;height:1.5pt" o:hralign="center" o:hrstd="t" o:hr="t"/>
        </w:pict>
      </w:r>
    </w:p>
    <w:p>
      <w:pPr>
        <w:pStyle w:val="Heading2"/>
      </w:pPr>
      <w:bookmarkStart w:id="39" w:name="key-competitive-insights"/>
      <w:r>
        <w:t xml:space="preserve">📊 Key Competitive Insights</w:t>
      </w:r>
      <w:bookmarkEnd w:id="39"/>
    </w:p>
    <w:p>
      <w:pPr>
        <w:pStyle w:val="Heading3"/>
      </w:pPr>
      <w:bookmarkStart w:id="40" w:name="X1b8d1615fad00b467ed5ad6e2ca2caf5089d15f"/>
      <w:r>
        <w:t xml:space="preserve">1. Sentry: Log Drains Now Available: Bringing Your Platform Logs Directly Into Sentry</w:t>
      </w:r>
      <w:bookmarkEnd w:id="40"/>
    </w:p>
    <w:p>
      <w:pPr>
        <w:pStyle w:val="FirstParagraph"/>
      </w:pPr>
      <w:r>
        <w:rPr>
          <w:b/>
        </w:rPr>
        <w:t xml:space="preserve">What they did:</w:t>
      </w:r>
      <w:r>
        <w:t xml:space="preserve"> </w:t>
      </w:r>
      <w:r>
        <w:t xml:space="preserve">Sentry has launched log drains functionality, allowing users to forward platform logs (from Vercel, Cloudflare, Supabase, etc.) directly into Sentry without code changes.</w:t>
      </w:r>
    </w:p>
    <w:p>
      <w:pPr>
        <w:pStyle w:val="BodyText"/>
      </w:pPr>
      <w:r>
        <w:rPr>
          <w:b/>
        </w:rPr>
        <w:t xml:space="preserve">Why it matters:</w:t>
      </w:r>
      <w:r>
        <w:t xml:space="preserve"> </w:t>
      </w:r>
      <w:r>
        <w:t xml:space="preserve">This represents a significant expansion of Sentry’s competitive footprint into the broader observability market, directly challenging established players like Datadog, New Relic, and Splunk. The no-code implementation and aggressive pricing could accelerate adoption among developer teams who previously viewed full observability platforms as too complex or expensive.</w:t>
      </w:r>
    </w:p>
    <w:p>
      <w:pPr>
        <w:pStyle w:val="BodyText"/>
      </w:pPr>
      <w:r>
        <w:rPr>
          <w:b/>
        </w:rPr>
        <w:t xml:space="preserve">Our response:</w:t>
      </w:r>
      <w:r>
        <w:t xml:space="preserve"> </w:t>
      </w:r>
      <w:r>
        <w:t xml:space="preserve">Evaluate our own log aggregation and correlation capabilities to identify gaps</w:t>
      </w:r>
    </w:p>
    <w:p>
      <w:pPr>
        <w:pStyle w:val="BodyText"/>
      </w:pPr>
      <w:r>
        <w:rPr>
          <w:b/>
        </w:rPr>
        <w:t xml:space="preserve">Track:</w:t>
      </w:r>
      <w:r>
        <w:t xml:space="preserve"> </w:t>
      </w:r>
      <w:r>
        <w:t xml:space="preserve">- Track</w:t>
      </w:r>
      <w:r>
        <w:t xml:space="preserve"> </w:t>
      </w:r>
      <w:r>
        <w:t xml:space="preserve">“</w:t>
      </w:r>
      <w:r>
        <w:t xml:space="preserve">Sentry</w:t>
      </w:r>
      <w:r>
        <w:t xml:space="preserve">”</w:t>
      </w:r>
      <w:r>
        <w:t xml:space="preserve"> </w:t>
      </w:r>
      <w:r>
        <w:t xml:space="preserve">mentions in sales calls</w:t>
      </w:r>
      <w:r>
        <w:t xml:space="preserve"> </w:t>
      </w:r>
      <w:r>
        <w:t xml:space="preserve">- Monitor competitive win/loss</w:t>
      </w:r>
      <w:r>
        <w:t xml:space="preserve"> </w:t>
      </w:r>
      <w:r>
        <w:t xml:space="preserve">- Track</w:t>
      </w:r>
      <w:r>
        <w:t xml:space="preserve"> </w:t>
      </w:r>
      <w:r>
        <w:t xml:space="preserve">“</w:t>
      </w:r>
      <w:r>
        <w:t xml:space="preserve">Sentry</w:t>
      </w:r>
      <w:r>
        <w:t xml:space="preserve">”</w:t>
      </w:r>
      <w:r>
        <w:t xml:space="preserve"> </w:t>
      </w:r>
      <w:r>
        <w:t xml:space="preserve">search trends</w:t>
      </w:r>
    </w:p>
    <w:p>
      <w:r>
        <w:pict>
          <v:rect style="width:0;height:1.5pt" o:hralign="center" o:hrstd="t" o:hr="t"/>
        </w:pict>
      </w:r>
    </w:p>
    <w:p>
      <w:pPr>
        <w:pStyle w:val="Heading3"/>
      </w:pPr>
      <w:bookmarkStart w:id="41" w:name="posthog-in-depth-posthog-vs-mixpanel"/>
      <w:r>
        <w:t xml:space="preserve">2. PostHog: In-depth: PostHog vs Mixpanel</w:t>
      </w:r>
      <w:bookmarkEnd w:id="41"/>
    </w:p>
    <w:p>
      <w:pPr>
        <w:pStyle w:val="FirstParagraph"/>
      </w:pPr>
      <w:r>
        <w:rPr>
          <w:b/>
        </w:rPr>
        <w:t xml:space="preserve">What they did:</w:t>
      </w:r>
      <w:r>
        <w:t xml:space="preserve"> </w:t>
      </w:r>
      <w:r>
        <w:t xml:space="preserve">PostHog published a detailed competitive comparison against Mixpanel, positioning itself as an all-in-one product platform versus Mixpanel’s focused analytics approach. The content heavily emphasizes PostHog’s comprehensive feature set, developer-first approach, and significantly lower pricing structure with up to 80% cost savings for anonymous events.</w:t>
      </w:r>
    </w:p>
    <w:p>
      <w:pPr>
        <w:pStyle w:val="BodyText"/>
      </w:pPr>
      <w:r>
        <w:rPr>
          <w:b/>
        </w:rPr>
        <w:t xml:space="preserve">Why it matters:</w:t>
      </w:r>
      <w:r>
        <w:t xml:space="preserve"> </w:t>
      </w:r>
      <w:r>
        <w:t xml:space="preserve">PostHog’s aggressive all-in-one positioning and significant pricing advantages pose a serious threat to our market position. Their developer-first approach and comprehensive feature set could attract customers looking to consolidate tools and reduce costs.</w:t>
      </w:r>
    </w:p>
    <w:p>
      <w:pPr>
        <w:pStyle w:val="BodyText"/>
      </w:pPr>
      <w:r>
        <w:rPr>
          <w:b/>
        </w:rPr>
        <w:t xml:space="preserve">Our response:</w:t>
      </w:r>
      <w:r>
        <w:t xml:space="preserve"> </w:t>
      </w:r>
      <w:r>
        <w:t xml:space="preserve">Evaluate our pricing strategy against PostHog’s anonymous event pricing model</w:t>
      </w:r>
    </w:p>
    <w:p>
      <w:pPr>
        <w:pStyle w:val="BodyText"/>
      </w:pPr>
      <w:r>
        <w:rPr>
          <w:b/>
        </w:rPr>
        <w:t xml:space="preserve">Track:</w:t>
      </w:r>
      <w:r>
        <w:t xml:space="preserve"> </w:t>
      </w:r>
      <w:r>
        <w:t xml:space="preserve">- Track</w:t>
      </w:r>
      <w:r>
        <w:t xml:space="preserve"> </w:t>
      </w:r>
      <w:r>
        <w:t xml:space="preserve">“</w:t>
      </w:r>
      <w:r>
        <w:t xml:space="preserve">PostHog</w:t>
      </w:r>
      <w:r>
        <w:t xml:space="preserve">”</w:t>
      </w:r>
      <w:r>
        <w:t xml:space="preserve"> </w:t>
      </w:r>
      <w:r>
        <w:t xml:space="preserve">mentions in sales calls</w:t>
      </w:r>
      <w:r>
        <w:t xml:space="preserve"> </w:t>
      </w:r>
      <w:r>
        <w:t xml:space="preserve">- Monitor competitive win/loss</w:t>
      </w:r>
      <w:r>
        <w:t xml:space="preserve"> </w:t>
      </w:r>
      <w:r>
        <w:t xml:space="preserve">- Track</w:t>
      </w:r>
      <w:r>
        <w:t xml:space="preserve"> </w:t>
      </w:r>
      <w:r>
        <w:t xml:space="preserve">“</w:t>
      </w:r>
      <w:r>
        <w:t xml:space="preserve">PostHog</w:t>
      </w:r>
      <w:r>
        <w:t xml:space="preserve">”</w:t>
      </w:r>
      <w:r>
        <w:t xml:space="preserve"> </w:t>
      </w:r>
      <w:r>
        <w:t xml:space="preserve">search trends</w:t>
      </w:r>
    </w:p>
    <w:p>
      <w:r>
        <w:pict>
          <v:rect style="width:0;height:1.5pt" o:hralign="center" o:hrstd="t" o:hr="t"/>
        </w:pict>
      </w:r>
    </w:p>
    <w:p>
      <w:pPr>
        <w:pStyle w:val="Heading3"/>
      </w:pPr>
      <w:bookmarkStart w:id="42" w:name="Xf70973025fd43ee983379918f1e34e2431181e1"/>
      <w:r>
        <w:t xml:space="preserve">3. New Relic: New Relic AI Impact Report 2026: How AIOps is Solving the</w:t>
      </w:r>
      <w:r>
        <w:t xml:space="preserve"> </w:t>
      </w:r>
      <w:r>
        <w:t xml:space="preserve">“</w:t>
      </w:r>
      <w:r>
        <w:t xml:space="preserve">Firefighting</w:t>
      </w:r>
      <w:r>
        <w:t xml:space="preserve">”</w:t>
      </w:r>
      <w:r>
        <w:t xml:space="preserve"> </w:t>
      </w:r>
      <w:r>
        <w:t xml:space="preserve">Crisis for Engineers</w:t>
      </w:r>
      <w:bookmarkEnd w:id="42"/>
    </w:p>
    <w:p>
      <w:pPr>
        <w:pStyle w:val="FirstParagraph"/>
      </w:pPr>
      <w:r>
        <w:rPr>
          <w:b/>
        </w:rPr>
        <w:t xml:space="preserve">What they did:</w:t>
      </w:r>
      <w:r>
        <w:t xml:space="preserve"> </w:t>
      </w:r>
      <w:r>
        <w:t xml:space="preserve">New Relic published their 2026 AI Impact Report focusing on how AIOps solutions can address the</w:t>
      </w:r>
      <w:r>
        <w:t xml:space="preserve"> </w:t>
      </w:r>
      <w:r>
        <w:t xml:space="preserve">“</w:t>
      </w:r>
      <w:r>
        <w:t xml:space="preserve">firefighting</w:t>
      </w:r>
      <w:r>
        <w:t xml:space="preserve">”</w:t>
      </w:r>
      <w:r>
        <w:t xml:space="preserve"> </w:t>
      </w:r>
      <w:r>
        <w:t xml:space="preserve">crisis that engineers face, positioning AI as a solution to engineering productivity drains. The report appears to emphasize the hidden costs of reactive engineering work and positions New Relic’s AI capabilities as a strategic solution to this widespread industry problem.</w:t>
      </w:r>
    </w:p>
    <w:p>
      <w:pPr>
        <w:pStyle w:val="BodyText"/>
      </w:pPr>
      <w:r>
        <w:rPr>
          <w:b/>
        </w:rPr>
        <w:t xml:space="preserve">Why it matters:</w:t>
      </w:r>
      <w:r>
        <w:t xml:space="preserve"> </w:t>
      </w:r>
      <w:r>
        <w:t xml:space="preserve">This represents New Relic’s attempt to differentiate their AI/AIOps capabilities by focusing on engineering productivity rather than just traditional monitoring. They’re trying to expand the conversation beyond incident response to broader operational efficiency, which could resonate with engineering leaders concerned about team productivity and costs.</w:t>
      </w:r>
    </w:p>
    <w:p>
      <w:pPr>
        <w:pStyle w:val="BodyText"/>
      </w:pPr>
      <w:r>
        <w:rPr>
          <w:b/>
        </w:rPr>
        <w:t xml:space="preserve">Our response:</w:t>
      </w:r>
      <w:r>
        <w:t xml:space="preserve"> </w:t>
      </w:r>
      <w:r>
        <w:t xml:space="preserve">Monitor for the full report release to understand their specific AI capabilities and competitive claims</w:t>
      </w:r>
    </w:p>
    <w:p>
      <w:pPr>
        <w:pStyle w:val="BodyText"/>
      </w:pPr>
      <w:r>
        <w:rPr>
          <w:b/>
        </w:rPr>
        <w:t xml:space="preserve">Track:</w:t>
      </w:r>
      <w:r>
        <w:t xml:space="preserve"> </w:t>
      </w:r>
      <w:r>
        <w:t xml:space="preserve">- Track</w:t>
      </w:r>
      <w:r>
        <w:t xml:space="preserve"> </w:t>
      </w:r>
      <w:r>
        <w:t xml:space="preserve">“</w:t>
      </w:r>
      <w:r>
        <w:t xml:space="preserve">New Relic</w:t>
      </w:r>
      <w:r>
        <w:t xml:space="preserve">”</w:t>
      </w:r>
      <w:r>
        <w:t xml:space="preserve"> </w:t>
      </w:r>
      <w:r>
        <w:t xml:space="preserve">mentions in sales calls</w:t>
      </w:r>
      <w:r>
        <w:t xml:space="preserve"> </w:t>
      </w:r>
      <w:r>
        <w:t xml:space="preserve">- Monitor competitive win/loss</w:t>
      </w:r>
      <w:r>
        <w:t xml:space="preserve"> </w:t>
      </w:r>
      <w:r>
        <w:t xml:space="preserve">- Track</w:t>
      </w:r>
      <w:r>
        <w:t xml:space="preserve"> </w:t>
      </w:r>
      <w:r>
        <w:t xml:space="preserve">“</w:t>
      </w:r>
      <w:r>
        <w:t xml:space="preserve">New Relic</w:t>
      </w:r>
      <w:r>
        <w:t xml:space="preserve">”</w:t>
      </w:r>
      <w:r>
        <w:t xml:space="preserve"> </w:t>
      </w:r>
      <w:r>
        <w:t xml:space="preserve">search trends</w:t>
      </w:r>
    </w:p>
    <w:p>
      <w:r>
        <w:pict>
          <v:rect style="width:0;height:1.5pt" o:hralign="center" o:hrstd="t" o:hr="t"/>
        </w:pict>
      </w:r>
    </w:p>
    <w:p>
      <w:pPr>
        <w:pStyle w:val="Heading3"/>
      </w:pPr>
      <w:bookmarkStart w:id="43" w:name="X919bbe9f1e34e17a94ab388d1423d7ad29bdf94"/>
      <w:r>
        <w:t xml:space="preserve">4. Dynatrace: Announcing agentic framework support and General Availability of the Dynatrace AI Observability app</w:t>
      </w:r>
      <w:bookmarkEnd w:id="43"/>
    </w:p>
    <w:p>
      <w:pPr>
        <w:pStyle w:val="FirstParagraph"/>
      </w:pPr>
      <w:r>
        <w:rPr>
          <w:b/>
        </w:rPr>
        <w:t xml:space="preserve">What they did:</w:t>
      </w:r>
      <w:r>
        <w:t xml:space="preserve"> </w:t>
      </w:r>
      <w:r>
        <w:t xml:space="preserve">Dynatrace has announced General Availability of their AI Observability app with expanded support for major agentic AI frameworks including Amazon Bedrock, LangChain, OpenAI Agents SDK, and Google ADK. This represents a significant strategic move into the emerging agentic AI observability market, positioning Dynatrace as the enterprise-grade solution for monitoring complex, autonomous AI systems across multi-cloud environments.</w:t>
      </w:r>
    </w:p>
    <w:p>
      <w:pPr>
        <w:pStyle w:val="BodyText"/>
      </w:pPr>
      <w:r>
        <w:rPr>
          <w:b/>
        </w:rPr>
        <w:t xml:space="preserve">Why it matters:</w:t>
      </w:r>
      <w:r>
        <w:t xml:space="preserve"> </w:t>
      </w:r>
      <w:r>
        <w:t xml:space="preserve">This represents a significant competitive threat as Dynatrace is establishing early leadership in the emerging agentic AI observability market. Their comprehensive framework support, enterprise-grade features, and strong cloud partnerships could make them the default choice for enterprises adopting agentic AI.</w:t>
      </w:r>
    </w:p>
    <w:p>
      <w:pPr>
        <w:pStyle w:val="BodyText"/>
      </w:pPr>
      <w:r>
        <w:rPr>
          <w:b/>
        </w:rPr>
        <w:t xml:space="preserve">Our response:</w:t>
      </w:r>
      <w:r>
        <w:t xml:space="preserve"> </w:t>
      </w:r>
      <w:r>
        <w:t xml:space="preserve">Accelerate development of AI-specific observability capabilities to compete in this emerging market segment</w:t>
      </w:r>
    </w:p>
    <w:p>
      <w:pPr>
        <w:pStyle w:val="BodyText"/>
      </w:pPr>
      <w:r>
        <w:rPr>
          <w:b/>
        </w:rPr>
        <w:t xml:space="preserve">Track:</w:t>
      </w:r>
      <w:r>
        <w:t xml:space="preserve"> </w:t>
      </w:r>
      <w:r>
        <w:t xml:space="preserve">- Track</w:t>
      </w:r>
      <w:r>
        <w:t xml:space="preserve"> </w:t>
      </w:r>
      <w:r>
        <w:t xml:space="preserve">“</w:t>
      </w:r>
      <w:r>
        <w:t xml:space="preserve">Dynatrace</w:t>
      </w:r>
      <w:r>
        <w:t xml:space="preserve">”</w:t>
      </w:r>
      <w:r>
        <w:t xml:space="preserve"> </w:t>
      </w:r>
      <w:r>
        <w:t xml:space="preserve">mentions in sales calls</w:t>
      </w:r>
      <w:r>
        <w:t xml:space="preserve"> </w:t>
      </w:r>
      <w:r>
        <w:t xml:space="preserve">- Monitor competitive win/loss</w:t>
      </w:r>
      <w:r>
        <w:t xml:space="preserve"> </w:t>
      </w:r>
      <w:r>
        <w:t xml:space="preserve">- Track</w:t>
      </w:r>
      <w:r>
        <w:t xml:space="preserve"> </w:t>
      </w:r>
      <w:r>
        <w:t xml:space="preserve">“</w:t>
      </w:r>
      <w:r>
        <w:t xml:space="preserve">Dynatrace</w:t>
      </w:r>
      <w:r>
        <w:t xml:space="preserve">”</w:t>
      </w:r>
      <w:r>
        <w:t xml:space="preserve"> </w:t>
      </w:r>
      <w:r>
        <w:t xml:space="preserve">search trends</w:t>
      </w:r>
    </w:p>
    <w:p>
      <w:r>
        <w:pict>
          <v:rect style="width:0;height:1.5pt" o:hralign="center" o:hrstd="t" o:hr="t"/>
        </w:pict>
      </w:r>
    </w:p>
    <w:p>
      <w:pPr>
        <w:pStyle w:val="Heading3"/>
      </w:pPr>
      <w:bookmarkStart w:id="44" w:name="Xdb4d0bb281614f66fae7599ee21844472f0f58d"/>
      <w:r>
        <w:t xml:space="preserve">5. Sentry: Seer: debug with AI at every stage of development</w:t>
      </w:r>
      <w:bookmarkEnd w:id="44"/>
    </w:p>
    <w:p>
      <w:pPr>
        <w:pStyle w:val="FirstParagraph"/>
      </w:pPr>
      <w:r>
        <w:rPr>
          <w:b/>
        </w:rPr>
        <w:t xml:space="preserve">What they did:</w:t>
      </w:r>
      <w:r>
        <w:t xml:space="preserve"> </w:t>
      </w:r>
      <w:r>
        <w:t xml:space="preserve">Sentry has significantly expanded their AI debugging agent</w:t>
      </w:r>
      <w:r>
        <w:t xml:space="preserve"> </w:t>
      </w:r>
      <w:r>
        <w:t xml:space="preserve">“</w:t>
      </w:r>
      <w:r>
        <w:t xml:space="preserve">Seer</w:t>
      </w:r>
      <w:r>
        <w:t xml:space="preserve">”</w:t>
      </w:r>
      <w:r>
        <w:t xml:space="preserve"> </w:t>
      </w:r>
      <w:r>
        <w:t xml:space="preserve">to cover the entire development lifecycle - from local development to code review to production debugging. They’ve also simplified pricing to a flat $40 per active contributor per month with unlimited usage, removing previous usage-based limitations.</w:t>
      </w:r>
    </w:p>
    <w:p>
      <w:pPr>
        <w:pStyle w:val="BodyText"/>
      </w:pPr>
      <w:r>
        <w:rPr>
          <w:b/>
        </w:rPr>
        <w:t xml:space="preserve">Why it matters:</w:t>
      </w:r>
      <w:r>
        <w:t xml:space="preserve"> </w:t>
      </w:r>
      <w:r>
        <w:t xml:space="preserve">This represents a significant competitive threat as Sentry is expanding beyond traditional error monitoring into comprehensive AI-powered development workflow automation. The shift-left strategy directly competes with development-time debugging tools, while the flat pricing model could accelerate enterprise adoption.</w:t>
      </w:r>
    </w:p>
    <w:p>
      <w:pPr>
        <w:pStyle w:val="BodyText"/>
      </w:pPr>
      <w:r>
        <w:rPr>
          <w:b/>
        </w:rPr>
        <w:t xml:space="preserve">Our response:</w:t>
      </w:r>
      <w:r>
        <w:t xml:space="preserve"> </w:t>
      </w:r>
      <w:r>
        <w:t xml:space="preserve">Evaluate our own AI debugging capabilities and development lifecycle coverage gaps</w:t>
      </w:r>
    </w:p>
    <w:p>
      <w:pPr>
        <w:pStyle w:val="BodyText"/>
      </w:pPr>
      <w:r>
        <w:rPr>
          <w:b/>
        </w:rPr>
        <w:t xml:space="preserve">Track:</w:t>
      </w:r>
      <w:r>
        <w:t xml:space="preserve"> </w:t>
      </w:r>
      <w:r>
        <w:t xml:space="preserve">- Track</w:t>
      </w:r>
      <w:r>
        <w:t xml:space="preserve"> </w:t>
      </w:r>
      <w:r>
        <w:t xml:space="preserve">“</w:t>
      </w:r>
      <w:r>
        <w:t xml:space="preserve">Sentry</w:t>
      </w:r>
      <w:r>
        <w:t xml:space="preserve">”</w:t>
      </w:r>
      <w:r>
        <w:t xml:space="preserve"> </w:t>
      </w:r>
      <w:r>
        <w:t xml:space="preserve">mentions in sales calls</w:t>
      </w:r>
      <w:r>
        <w:t xml:space="preserve"> </w:t>
      </w:r>
      <w:r>
        <w:t xml:space="preserve">- Monitor competitive win/loss</w:t>
      </w:r>
      <w:r>
        <w:t xml:space="preserve"> </w:t>
      </w:r>
      <w:r>
        <w:t xml:space="preserve">- Track</w:t>
      </w:r>
      <w:r>
        <w:t xml:space="preserve"> </w:t>
      </w:r>
      <w:r>
        <w:t xml:space="preserve">“</w:t>
      </w:r>
      <w:r>
        <w:t xml:space="preserve">Sentry</w:t>
      </w:r>
      <w:r>
        <w:t xml:space="preserve">”</w:t>
      </w:r>
      <w:r>
        <w:t xml:space="preserve"> </w:t>
      </w:r>
      <w:r>
        <w:t xml:space="preserve">search trends</w:t>
      </w:r>
    </w:p>
    <w:p>
      <w:r>
        <w:pict>
          <v:rect style="width:0;height:1.5pt" o:hralign="center" o:hrstd="t" o:hr="t"/>
        </w:pict>
      </w:r>
    </w:p>
    <w:p>
      <w:pPr>
        <w:pStyle w:val="Heading3"/>
      </w:pPr>
      <w:bookmarkStart w:id="45" w:name="X9911eae5cd1e57c3de41824015677aa75ca2d78"/>
      <w:r>
        <w:t xml:space="preserve">6. PostHog: Your logs’ final destination is in GA. You always end up here anyway</w:t>
      </w:r>
      <w:bookmarkEnd w:id="45"/>
    </w:p>
    <w:p>
      <w:pPr>
        <w:pStyle w:val="FirstParagraph"/>
      </w:pPr>
      <w:r>
        <w:rPr>
          <w:b/>
        </w:rPr>
        <w:t xml:space="preserve">What they did:</w:t>
      </w:r>
      <w:r>
        <w:t xml:space="preserve"> </w:t>
      </w:r>
      <w:r>
        <w:t xml:space="preserve">PostHog has launched Logs as a generally available feature, positioning it as the</w:t>
      </w:r>
      <w:r>
        <w:t xml:space="preserve"> </w:t>
      </w:r>
      <w:r>
        <w:t xml:space="preserve">“</w:t>
      </w:r>
      <w:r>
        <w:t xml:space="preserve">final destination</w:t>
      </w:r>
      <w:r>
        <w:t xml:space="preserve">”</w:t>
      </w:r>
      <w:r>
        <w:t xml:space="preserve"> </w:t>
      </w:r>
      <w:r>
        <w:t xml:space="preserve">for debugging workflows that integrates with their existing error tracking, session replay, and product analytics. The offering uses standard OpenTelemetry ingestion and emphasizes unified debugging workflows rather than tool-switching, with competitive pricing at $0.</w:t>
      </w:r>
    </w:p>
    <w:p>
      <w:pPr>
        <w:pStyle w:val="BodyText"/>
      </w:pPr>
      <w:r>
        <w:rPr>
          <w:b/>
        </w:rPr>
        <w:t xml:space="preserve">Why it matters:</w:t>
      </w:r>
      <w:r>
        <w:t xml:space="preserve"> </w:t>
      </w:r>
      <w:r>
        <w:t xml:space="preserve">PostHog is executing a platform consolidation strategy that could significantly impact the observability market. By integrating logs with their existing product analytics, error tracking, and session replay capabilities, they’re creating a compelling unified platform that reduces tool sprawl.</w:t>
      </w:r>
    </w:p>
    <w:p>
      <w:pPr>
        <w:pStyle w:val="BodyText"/>
      </w:pPr>
      <w:r>
        <w:rPr>
          <w:b/>
        </w:rPr>
        <w:t xml:space="preserve">Our response:</w:t>
      </w:r>
      <w:r>
        <w:t xml:space="preserve"> </w:t>
      </w:r>
      <w:r>
        <w:t xml:space="preserve">Evaluate our own platform integration strategy - can we offer similar unified debugging workflows?</w:t>
      </w:r>
    </w:p>
    <w:p>
      <w:pPr>
        <w:pStyle w:val="BodyText"/>
      </w:pPr>
      <w:r>
        <w:rPr>
          <w:b/>
        </w:rPr>
        <w:t xml:space="preserve">Track:</w:t>
      </w:r>
      <w:r>
        <w:t xml:space="preserve"> </w:t>
      </w:r>
      <w:r>
        <w:t xml:space="preserve">- Track</w:t>
      </w:r>
      <w:r>
        <w:t xml:space="preserve"> </w:t>
      </w:r>
      <w:r>
        <w:t xml:space="preserve">“</w:t>
      </w:r>
      <w:r>
        <w:t xml:space="preserve">PostHog</w:t>
      </w:r>
      <w:r>
        <w:t xml:space="preserve">”</w:t>
      </w:r>
      <w:r>
        <w:t xml:space="preserve"> </w:t>
      </w:r>
      <w:r>
        <w:t xml:space="preserve">mentions in sales calls</w:t>
      </w:r>
      <w:r>
        <w:t xml:space="preserve"> </w:t>
      </w:r>
      <w:r>
        <w:t xml:space="preserve">- Monitor competitive win/loss</w:t>
      </w:r>
      <w:r>
        <w:t xml:space="preserve"> </w:t>
      </w:r>
      <w:r>
        <w:t xml:space="preserve">- Track</w:t>
      </w:r>
      <w:r>
        <w:t xml:space="preserve"> </w:t>
      </w:r>
      <w:r>
        <w:t xml:space="preserve">“</w:t>
      </w:r>
      <w:r>
        <w:t xml:space="preserve">PostHog</w:t>
      </w:r>
      <w:r>
        <w:t xml:space="preserve">”</w:t>
      </w:r>
      <w:r>
        <w:t xml:space="preserve"> </w:t>
      </w:r>
      <w:r>
        <w:t xml:space="preserve">search trends</w:t>
      </w:r>
    </w:p>
    <w:p>
      <w:r>
        <w:pict>
          <v:rect style="width:0;height:1.5pt" o:hralign="center" o:hrstd="t" o:hr="t"/>
        </w:pict>
      </w:r>
    </w:p>
    <w:p>
      <w:pPr>
        <w:pStyle w:val="Heading3"/>
      </w:pPr>
      <w:bookmarkStart w:id="46" w:name="X3bbb1851721377d1fdf0e61cdc05e14a0785113"/>
      <w:r>
        <w:t xml:space="preserve">7. New Relic: The Power of Community: Applying Dr. King’s Lessons at New Relic</w:t>
      </w:r>
      <w:bookmarkEnd w:id="46"/>
    </w:p>
    <w:p>
      <w:pPr>
        <w:pStyle w:val="FirstParagraph"/>
      </w:pPr>
      <w:r>
        <w:rPr>
          <w:b/>
        </w:rPr>
        <w:t xml:space="preserve">What they did:</w:t>
      </w:r>
      <w:r>
        <w:t xml:space="preserve"> </w:t>
      </w:r>
      <w:r>
        <w:t xml:space="preserve">This appears to be a corporate social responsibility or thought leadership blog post from New Relic discussing community values and applying Dr. Martin Luther King Jr.</w:t>
      </w:r>
    </w:p>
    <w:p>
      <w:pPr>
        <w:pStyle w:val="BodyText"/>
      </w:pPr>
      <w:r>
        <w:rPr>
          <w:b/>
        </w:rPr>
        <w:t xml:space="preserve">Why it matters:</w:t>
      </w:r>
      <w:r>
        <w:t xml:space="preserve"> </w:t>
      </w:r>
      <w:r>
        <w:t xml:space="preserve">This content represents brand positioning and corporate messaging rather than competitive product moves. It may help New Relic appeal to customers and talent who value social responsibility, but does not directly impact our technical competitive position.</w:t>
      </w:r>
    </w:p>
    <w:p>
      <w:pPr>
        <w:pStyle w:val="BodyText"/>
      </w:pPr>
      <w:r>
        <w:rPr>
          <w:b/>
        </w:rPr>
        <w:t xml:space="preserve">Our response:</w:t>
      </w:r>
      <w:r>
        <w:t xml:space="preserve"> </w:t>
      </w:r>
      <w:r>
        <w:t xml:space="preserve">Monitor for follow-up content that might reveal more substantial positioning changes</w:t>
      </w:r>
    </w:p>
    <w:p>
      <w:pPr>
        <w:pStyle w:val="BodyText"/>
      </w:pPr>
      <w:r>
        <w:rPr>
          <w:b/>
        </w:rPr>
        <w:t xml:space="preserve">Track:</w:t>
      </w:r>
      <w:r>
        <w:t xml:space="preserve"> </w:t>
      </w:r>
      <w:r>
        <w:t xml:space="preserve">- Track</w:t>
      </w:r>
      <w:r>
        <w:t xml:space="preserve"> </w:t>
      </w:r>
      <w:r>
        <w:t xml:space="preserve">“</w:t>
      </w:r>
      <w:r>
        <w:t xml:space="preserve">New Relic</w:t>
      </w:r>
      <w:r>
        <w:t xml:space="preserve">”</w:t>
      </w:r>
      <w:r>
        <w:t xml:space="preserve"> </w:t>
      </w:r>
      <w:r>
        <w:t xml:space="preserve">mentions in sales calls</w:t>
      </w:r>
      <w:r>
        <w:t xml:space="preserve"> </w:t>
      </w:r>
      <w:r>
        <w:t xml:space="preserve">- Monitor competitive win/loss</w:t>
      </w:r>
      <w:r>
        <w:t xml:space="preserve"> </w:t>
      </w:r>
      <w:r>
        <w:t xml:space="preserve">- Track</w:t>
      </w:r>
      <w:r>
        <w:t xml:space="preserve"> </w:t>
      </w:r>
      <w:r>
        <w:t xml:space="preserve">“</w:t>
      </w:r>
      <w:r>
        <w:t xml:space="preserve">New Relic</w:t>
      </w:r>
      <w:r>
        <w:t xml:space="preserve">”</w:t>
      </w:r>
      <w:r>
        <w:t xml:space="preserve"> </w:t>
      </w:r>
      <w:r>
        <w:t xml:space="preserve">search trends</w:t>
      </w:r>
    </w:p>
    <w:p>
      <w:r>
        <w:pict>
          <v:rect style="width:0;height:1.5pt" o:hralign="center" o:hrstd="t" o:hr="t"/>
        </w:pict>
      </w:r>
    </w:p>
    <w:p>
      <w:pPr>
        <w:pStyle w:val="Heading3"/>
      </w:pPr>
      <w:bookmarkStart w:id="47" w:name="Xf19d95e0f4b6456c344a3f5cf2f03ec0eca8287"/>
      <w:r>
        <w:t xml:space="preserve">8. Dynatrace: Fuel Bedrock agents with observability data via the Dynatrace MCP Server</w:t>
      </w:r>
      <w:bookmarkEnd w:id="47"/>
    </w:p>
    <w:p>
      <w:pPr>
        <w:pStyle w:val="FirstParagraph"/>
      </w:pPr>
      <w:r>
        <w:rPr>
          <w:b/>
        </w:rPr>
        <w:t xml:space="preserve">What they did:</w:t>
      </w:r>
      <w:r>
        <w:t xml:space="preserve"> </w:t>
      </w:r>
      <w:r>
        <w:t xml:space="preserve">Dynatrace has become the first AWS Partner to integrate with Amazon Bedrock AgentCore Gateway via the Model Context Protocol (MCP), enabling AI agents to access real-time observability data directly. This integration allows Bedrock agents to query live system metrics, anomalies, traces, and topology data from Dynatrace environments to make more informed autonomous decisions.</w:t>
      </w:r>
    </w:p>
    <w:p>
      <w:pPr>
        <w:pStyle w:val="BodyText"/>
      </w:pPr>
      <w:r>
        <w:rPr>
          <w:b/>
        </w:rPr>
        <w:t xml:space="preserve">Why it matters:</w:t>
      </w:r>
      <w:r>
        <w:t xml:space="preserve"> </w:t>
      </w:r>
      <w:r>
        <w:t xml:space="preserve">This move significantly strengthens Dynatrace’s competitive position by establishing them as the leader in AI-observability integration. Their first-mover advantage with AWS Bedrock could create strong customer lock-in effects as organizations build AI workflows dependent on this integration.</w:t>
      </w:r>
    </w:p>
    <w:p>
      <w:pPr>
        <w:pStyle w:val="BodyText"/>
      </w:pPr>
      <w:r>
        <w:rPr>
          <w:b/>
        </w:rPr>
        <w:t xml:space="preserve">Our response:</w:t>
      </w:r>
      <w:r>
        <w:t xml:space="preserve"> </w:t>
      </w:r>
      <w:r>
        <w:t xml:space="preserve">Accelerate development of our own AI agent integrations, particularly with major cloud AI platforms (AWS Bedrock, Azure OpenAI, Google Vertex AI)</w:t>
      </w:r>
    </w:p>
    <w:p>
      <w:pPr>
        <w:pStyle w:val="BodyText"/>
      </w:pPr>
      <w:r>
        <w:rPr>
          <w:b/>
        </w:rPr>
        <w:t xml:space="preserve">Track:</w:t>
      </w:r>
      <w:r>
        <w:t xml:space="preserve"> </w:t>
      </w:r>
      <w:r>
        <w:t xml:space="preserve">- Track</w:t>
      </w:r>
      <w:r>
        <w:t xml:space="preserve"> </w:t>
      </w:r>
      <w:r>
        <w:t xml:space="preserve">“</w:t>
      </w:r>
      <w:r>
        <w:t xml:space="preserve">Dynatrace</w:t>
      </w:r>
      <w:r>
        <w:t xml:space="preserve">”</w:t>
      </w:r>
      <w:r>
        <w:t xml:space="preserve"> </w:t>
      </w:r>
      <w:r>
        <w:t xml:space="preserve">mentions in sales calls</w:t>
      </w:r>
      <w:r>
        <w:t xml:space="preserve"> </w:t>
      </w:r>
      <w:r>
        <w:t xml:space="preserve">- Monitor competitive win/loss</w:t>
      </w:r>
      <w:r>
        <w:t xml:space="preserve"> </w:t>
      </w:r>
      <w:r>
        <w:t xml:space="preserve">- Track</w:t>
      </w:r>
      <w:r>
        <w:t xml:space="preserve"> </w:t>
      </w:r>
      <w:r>
        <w:t xml:space="preserve">“</w:t>
      </w:r>
      <w:r>
        <w:t xml:space="preserve">Dynatrace</w:t>
      </w:r>
      <w:r>
        <w:t xml:space="preserve">”</w:t>
      </w:r>
      <w:r>
        <w:t xml:space="preserve"> </w:t>
      </w:r>
      <w:r>
        <w:t xml:space="preserve">search trends</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2026-02-02T15:21:58Z</dcterms:created>
  <dcterms:modified xsi:type="dcterms:W3CDTF">2026-02-02T15:21:58Z</dcterms:modified>
</cp:coreProperties>
</file>

<file path=docProps/custom.xml><?xml version="1.0" encoding="utf-8"?>
<Properties xmlns="http://schemas.openxmlformats.org/officeDocument/2006/custom-properties" xmlns:vt="http://schemas.openxmlformats.org/officeDocument/2006/docPropsVTypes"/>
</file>