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E5FD95" w14:textId="356E1212" w:rsidR="00616BBF" w:rsidRPr="00AD2332" w:rsidRDefault="00000000" w:rsidP="00AD2332">
      <w:pPr>
        <w:pStyle w:val="Title"/>
        <w:pBdr>
          <w:bottom w:val="single" w:sz="8" w:space="12" w:color="4F81BD" w:themeColor="accent1"/>
        </w:pBdr>
        <w:rPr>
          <w:color w:val="000000" w:themeColor="text1"/>
        </w:rPr>
      </w:pPr>
      <w:r w:rsidRPr="00AD2332">
        <w:rPr>
          <w:color w:val="000000" w:themeColor="text1"/>
        </w:rPr>
        <w:t>Midterm Mastery (Part I) - Submission Repor</w:t>
      </w:r>
      <w:r w:rsidR="00AD2332">
        <w:rPr>
          <w:color w:val="000000" w:themeColor="text1"/>
        </w:rPr>
        <w:t>t</w:t>
      </w:r>
    </w:p>
    <w:p w14:paraId="7AA1E724" w14:textId="77777777" w:rsidR="00616BBF" w:rsidRPr="00AD2332" w:rsidRDefault="00000000">
      <w:pPr>
        <w:pStyle w:val="Heading1"/>
        <w:rPr>
          <w:b w:val="0"/>
          <w:bCs w:val="0"/>
          <w:color w:val="000000" w:themeColor="text1"/>
        </w:rPr>
      </w:pPr>
      <w:r w:rsidRPr="00AD2332">
        <w:rPr>
          <w:b w:val="0"/>
          <w:bCs w:val="0"/>
          <w:color w:val="000000" w:themeColor="text1"/>
        </w:rPr>
        <w:t>Step I: Sharing Results from Homework 6</w:t>
      </w:r>
    </w:p>
    <w:p w14:paraId="302D3DD9" w14:textId="77777777" w:rsidR="00616BBF" w:rsidRPr="00AD2332" w:rsidRDefault="00000000">
      <w:pPr>
        <w:rPr>
          <w:color w:val="000000" w:themeColor="text1"/>
        </w:rPr>
      </w:pPr>
      <w:r w:rsidRPr="00AD2332">
        <w:rPr>
          <w:color w:val="000000" w:themeColor="text1"/>
        </w:rPr>
        <w:t>I posted my Homework 6 observations and analysis in Piazza under the SharingHomework6 thread and referenced my original results. My key finding was that bounded per-request work (exactly 100 product checks) keeps latency controlled at moderate load, and horizontal scaling solves throughput pressure more effectively than relying on vertical-only tuning.</w:t>
      </w:r>
    </w:p>
    <w:p w14:paraId="52AA8BB7" w14:textId="77777777" w:rsidR="00616BBF" w:rsidRPr="00AD2332" w:rsidRDefault="00000000">
      <w:pPr>
        <w:rPr>
          <w:color w:val="000000" w:themeColor="text1"/>
        </w:rPr>
      </w:pPr>
      <w:r w:rsidRPr="00AD2332">
        <w:rPr>
          <w:color w:val="000000" w:themeColor="text1"/>
        </w:rPr>
        <w:t>My measured HW6 highlights:</w:t>
      </w:r>
    </w:p>
    <w:p w14:paraId="73BEDC2B" w14:textId="77777777" w:rsidR="00616BBF" w:rsidRPr="00AD2332" w:rsidRDefault="00000000">
      <w:pPr>
        <w:pStyle w:val="ListBullet"/>
        <w:rPr>
          <w:color w:val="000000" w:themeColor="text1"/>
        </w:rPr>
      </w:pPr>
      <w:r w:rsidRPr="00AD2332">
        <w:rPr>
          <w:color w:val="000000" w:themeColor="text1"/>
        </w:rPr>
        <w:t>Baseline single-task test (5 users, 2 minutes): 5,915 requests, 42.5 RPS, avg 79.5 ms, p95 83 ms, 0% failures.</w:t>
      </w:r>
    </w:p>
    <w:p w14:paraId="7C116503" w14:textId="77777777" w:rsidR="00616BBF" w:rsidRPr="00AD2332" w:rsidRDefault="00000000">
      <w:pPr>
        <w:pStyle w:val="ListBullet"/>
        <w:rPr>
          <w:color w:val="000000" w:themeColor="text1"/>
        </w:rPr>
      </w:pPr>
      <w:r w:rsidRPr="00AD2332">
        <w:rPr>
          <w:color w:val="000000" w:themeColor="text1"/>
        </w:rPr>
        <w:t>Single-task stress test (150 users): 256,128 requests, 1,273.8 RPS, avg 87.89 ms, p95 160 ms, p99 220 ms, 0% failures.</w:t>
      </w:r>
    </w:p>
    <w:p w14:paraId="425D2CFC" w14:textId="77777777" w:rsidR="00616BBF" w:rsidRPr="00AD2332" w:rsidRDefault="00000000">
      <w:pPr>
        <w:pStyle w:val="ListBullet"/>
        <w:rPr>
          <w:color w:val="000000" w:themeColor="text1"/>
        </w:rPr>
      </w:pPr>
      <w:r w:rsidRPr="00AD2332">
        <w:rPr>
          <w:color w:val="000000" w:themeColor="text1"/>
        </w:rPr>
        <w:t>Scaled-service test (autoscaling active): 552,209 requests, 1,450.5 RPS, avg 80.76 ms, p95 92 ms, p99 170 ms, 0% failures.</w:t>
      </w:r>
    </w:p>
    <w:p w14:paraId="0B9393FF" w14:textId="77777777" w:rsidR="00616BBF" w:rsidRPr="00AD2332" w:rsidRDefault="00000000">
      <w:pPr>
        <w:pStyle w:val="ListBullet"/>
        <w:rPr>
          <w:color w:val="000000" w:themeColor="text1"/>
        </w:rPr>
      </w:pPr>
      <w:r w:rsidRPr="00AD2332">
        <w:rPr>
          <w:color w:val="000000" w:themeColor="text1"/>
        </w:rPr>
        <w:t>Observed autoscaling transition: desired/running/pending moved 2/2/0 -&gt; 4/2/2 -&gt; 4/3/1 -&gt; 4/4/0.</w:t>
      </w:r>
    </w:p>
    <w:p w14:paraId="37A145F3" w14:textId="77777777" w:rsidR="00616BBF" w:rsidRPr="00AD2332" w:rsidRDefault="00000000">
      <w:pPr>
        <w:pStyle w:val="ListBullet"/>
        <w:rPr>
          <w:color w:val="000000" w:themeColor="text1"/>
        </w:rPr>
      </w:pPr>
      <w:r w:rsidRPr="00AD2332">
        <w:rPr>
          <w:color w:val="000000" w:themeColor="text1"/>
        </w:rPr>
        <w:t>Resilience test: one ECS task was stopped during active load, traffic continued, and service returned to steady healthy state.</w:t>
      </w:r>
    </w:p>
    <w:p w14:paraId="30767ECC" w14:textId="77777777" w:rsidR="00616BBF" w:rsidRPr="00AD2332" w:rsidRDefault="00000000">
      <w:pPr>
        <w:pStyle w:val="Heading1"/>
        <w:rPr>
          <w:b w:val="0"/>
          <w:bCs w:val="0"/>
          <w:color w:val="000000" w:themeColor="text1"/>
        </w:rPr>
      </w:pPr>
      <w:r w:rsidRPr="00AD2332">
        <w:rPr>
          <w:b w:val="0"/>
          <w:bCs w:val="0"/>
          <w:color w:val="000000" w:themeColor="text1"/>
        </w:rPr>
        <w:t>Step II: What I Found Valuable So Far</w:t>
      </w:r>
    </w:p>
    <w:p w14:paraId="4CEB255C" w14:textId="77777777" w:rsidR="00616BBF" w:rsidRPr="00AD2332" w:rsidRDefault="00000000">
      <w:pPr>
        <w:rPr>
          <w:color w:val="000000" w:themeColor="text1"/>
        </w:rPr>
      </w:pPr>
      <w:r w:rsidRPr="00AD2332">
        <w:rPr>
          <w:color w:val="000000" w:themeColor="text1"/>
        </w:rPr>
        <w:t>The most valuable part of this course has been learning how decisions connect across API design, deployment, observability, and resilience. At first these topics felt separate; through assignments, they now feel like one engineering loop: design, deploy, measure, adapt, and verify.</w:t>
      </w:r>
    </w:p>
    <w:p w14:paraId="74052A2D" w14:textId="77777777" w:rsidR="00616BBF" w:rsidRPr="00AD2332" w:rsidRDefault="00000000">
      <w:pPr>
        <w:pStyle w:val="Heading2"/>
        <w:rPr>
          <w:b w:val="0"/>
          <w:bCs w:val="0"/>
          <w:color w:val="000000" w:themeColor="text1"/>
        </w:rPr>
      </w:pPr>
      <w:r w:rsidRPr="00AD2332">
        <w:rPr>
          <w:b w:val="0"/>
          <w:bCs w:val="0"/>
          <w:color w:val="000000" w:themeColor="text1"/>
        </w:rPr>
        <w:t>1) API Contracts and Modular Thinking</w:t>
      </w:r>
    </w:p>
    <w:p w14:paraId="052FEA3A" w14:textId="77777777" w:rsidR="00616BBF" w:rsidRPr="00AD2332" w:rsidRDefault="00000000">
      <w:pPr>
        <w:rPr>
          <w:color w:val="000000" w:themeColor="text1"/>
        </w:rPr>
      </w:pPr>
      <w:r w:rsidRPr="00AD2332">
        <w:rPr>
          <w:color w:val="000000" w:themeColor="text1"/>
        </w:rPr>
        <w:t>Working from contract-first definitions improved how I think about service boundaries and change safety. Stable interfaces reduce coupling, which makes teams faster and debugging more local. This connected strongly with the Parnas reading: decomposition quality drives long-term maintainability.</w:t>
      </w:r>
    </w:p>
    <w:p w14:paraId="1A395983" w14:textId="77777777" w:rsidR="00616BBF" w:rsidRPr="00AD2332" w:rsidRDefault="00000000">
      <w:pPr>
        <w:pStyle w:val="Heading2"/>
        <w:rPr>
          <w:b w:val="0"/>
          <w:bCs w:val="0"/>
          <w:color w:val="000000" w:themeColor="text1"/>
        </w:rPr>
      </w:pPr>
      <w:r w:rsidRPr="00AD2332">
        <w:rPr>
          <w:b w:val="0"/>
          <w:bCs w:val="0"/>
          <w:color w:val="000000" w:themeColor="text1"/>
        </w:rPr>
        <w:t>2) Infrastructure as Code and Repeatability</w:t>
      </w:r>
    </w:p>
    <w:p w14:paraId="252BB109" w14:textId="77777777" w:rsidR="00616BBF" w:rsidRPr="00AD2332" w:rsidRDefault="00000000">
      <w:pPr>
        <w:rPr>
          <w:color w:val="000000" w:themeColor="text1"/>
        </w:rPr>
      </w:pPr>
      <w:r w:rsidRPr="00AD2332">
        <w:rPr>
          <w:color w:val="000000" w:themeColor="text1"/>
        </w:rPr>
        <w:t xml:space="preserve">Terraform changed my workflow from click-based setup to reproducible infrastructure. Desired-state configuration improved consistency, collaboration, and teardown hygiene. I </w:t>
      </w:r>
      <w:r w:rsidRPr="00AD2332">
        <w:rPr>
          <w:color w:val="000000" w:themeColor="text1"/>
        </w:rPr>
        <w:lastRenderedPageBreak/>
        <w:t>learned that if another engineer cannot reproduce the same environment from commands, the setup is not production-grade.</w:t>
      </w:r>
    </w:p>
    <w:p w14:paraId="183373D3" w14:textId="77777777" w:rsidR="00616BBF" w:rsidRPr="00AD2332" w:rsidRDefault="00000000">
      <w:pPr>
        <w:pStyle w:val="Heading2"/>
        <w:rPr>
          <w:b w:val="0"/>
          <w:bCs w:val="0"/>
          <w:color w:val="000000" w:themeColor="text1"/>
        </w:rPr>
      </w:pPr>
      <w:r w:rsidRPr="00AD2332">
        <w:rPr>
          <w:b w:val="0"/>
          <w:bCs w:val="0"/>
          <w:color w:val="000000" w:themeColor="text1"/>
        </w:rPr>
        <w:t>3) Load Testing as a Design Tool</w:t>
      </w:r>
    </w:p>
    <w:p w14:paraId="08EF190F" w14:textId="77777777" w:rsidR="00616BBF" w:rsidRPr="00AD2332" w:rsidRDefault="00000000">
      <w:pPr>
        <w:rPr>
          <w:color w:val="000000" w:themeColor="text1"/>
        </w:rPr>
      </w:pPr>
      <w:r w:rsidRPr="00AD2332">
        <w:rPr>
          <w:color w:val="000000" w:themeColor="text1"/>
        </w:rPr>
        <w:t xml:space="preserve">Locust became a design instrument rather than a final checkbox. By varying users, spawn rates, and duration, I could observe where throughput stabilized, where latency tails increased, and when scaling policy decisions </w:t>
      </w:r>
      <w:proofErr w:type="gramStart"/>
      <w:r w:rsidRPr="00AD2332">
        <w:rPr>
          <w:color w:val="000000" w:themeColor="text1"/>
        </w:rPr>
        <w:t>actually changed</w:t>
      </w:r>
      <w:proofErr w:type="gramEnd"/>
      <w:r w:rsidRPr="00AD2332">
        <w:rPr>
          <w:color w:val="000000" w:themeColor="text1"/>
        </w:rPr>
        <w:t xml:space="preserve"> service behavior.</w:t>
      </w:r>
    </w:p>
    <w:p w14:paraId="57A0F8CA" w14:textId="77777777" w:rsidR="00616BBF" w:rsidRPr="00AD2332" w:rsidRDefault="00000000">
      <w:pPr>
        <w:pStyle w:val="Heading2"/>
        <w:rPr>
          <w:b w:val="0"/>
          <w:bCs w:val="0"/>
          <w:color w:val="000000" w:themeColor="text1"/>
        </w:rPr>
      </w:pPr>
      <w:r w:rsidRPr="00AD2332">
        <w:rPr>
          <w:b w:val="0"/>
          <w:bCs w:val="0"/>
          <w:color w:val="000000" w:themeColor="text1"/>
        </w:rPr>
        <w:t>4) CPU vs Memory Bottlenecks</w:t>
      </w:r>
    </w:p>
    <w:p w14:paraId="55753AE4" w14:textId="77777777" w:rsidR="00616BBF" w:rsidRPr="00AD2332" w:rsidRDefault="00000000">
      <w:pPr>
        <w:rPr>
          <w:color w:val="000000" w:themeColor="text1"/>
        </w:rPr>
      </w:pPr>
      <w:r w:rsidRPr="00AD2332">
        <w:rPr>
          <w:color w:val="000000" w:themeColor="text1"/>
        </w:rPr>
        <w:t>Homework 6 made bottleneck classification practical. Because products were preloaded in memory, memory remained comparatively steady while CPU absorbed most request pressure. That evidence justified scaling decisions better than speculative code micro-optimization.</w:t>
      </w:r>
    </w:p>
    <w:p w14:paraId="0D61310C" w14:textId="77777777" w:rsidR="00616BBF" w:rsidRPr="00AD2332" w:rsidRDefault="00000000">
      <w:pPr>
        <w:pStyle w:val="Heading2"/>
        <w:rPr>
          <w:b w:val="0"/>
          <w:bCs w:val="0"/>
          <w:color w:val="000000" w:themeColor="text1"/>
        </w:rPr>
      </w:pPr>
      <w:r w:rsidRPr="00AD2332">
        <w:rPr>
          <w:b w:val="0"/>
          <w:bCs w:val="0"/>
          <w:color w:val="000000" w:themeColor="text1"/>
        </w:rPr>
        <w:t>5) Horizontal Scaling and Resilience</w:t>
      </w:r>
    </w:p>
    <w:p w14:paraId="64A34245" w14:textId="60BB75E1" w:rsidR="00616BBF" w:rsidRPr="00AD2332" w:rsidRDefault="00000000">
      <w:pPr>
        <w:rPr>
          <w:color w:val="000000" w:themeColor="text1"/>
        </w:rPr>
      </w:pPr>
      <w:r w:rsidRPr="00AD2332">
        <w:rPr>
          <w:color w:val="000000" w:themeColor="text1"/>
        </w:rPr>
        <w:t xml:space="preserve">The most important systems insight was that horizontal scaling improves both capacity and fault tolerance. With ALB + ECS autoscaling, the system handled heavy load with stable success </w:t>
      </w:r>
      <w:r w:rsidR="00AD2332" w:rsidRPr="00AD2332">
        <w:rPr>
          <w:color w:val="000000" w:themeColor="text1"/>
        </w:rPr>
        <w:t>rate and</w:t>
      </w:r>
      <w:r w:rsidRPr="00AD2332">
        <w:rPr>
          <w:color w:val="000000" w:themeColor="text1"/>
        </w:rPr>
        <w:t xml:space="preserve"> continued serving traffic when one task was stopped during runtime.</w:t>
      </w:r>
    </w:p>
    <w:p w14:paraId="663231A6" w14:textId="77777777" w:rsidR="00616BBF" w:rsidRPr="00AD2332" w:rsidRDefault="00000000">
      <w:pPr>
        <w:pStyle w:val="Heading2"/>
        <w:rPr>
          <w:b w:val="0"/>
          <w:bCs w:val="0"/>
          <w:color w:val="000000" w:themeColor="text1"/>
        </w:rPr>
      </w:pPr>
      <w:r w:rsidRPr="00AD2332">
        <w:rPr>
          <w:b w:val="0"/>
          <w:bCs w:val="0"/>
          <w:color w:val="000000" w:themeColor="text1"/>
        </w:rPr>
        <w:t>6) Observability and Decision Quality</w:t>
      </w:r>
    </w:p>
    <w:p w14:paraId="2EA78C51" w14:textId="77777777" w:rsidR="00616BBF" w:rsidRPr="00AD2332" w:rsidRDefault="00000000">
      <w:pPr>
        <w:rPr>
          <w:color w:val="000000" w:themeColor="text1"/>
        </w:rPr>
      </w:pPr>
      <w:r w:rsidRPr="00AD2332">
        <w:rPr>
          <w:color w:val="000000" w:themeColor="text1"/>
        </w:rPr>
        <w:t>CloudWatch metrics, target health, and ECS events turned performance decisions into evidence-based reasoning. Correlating request behavior (Locust) with service behavior (CPU, memory, desired/running counts) gave clearer explanations and better tuning confidence.</w:t>
      </w:r>
    </w:p>
    <w:p w14:paraId="6CBEBF30" w14:textId="77777777" w:rsidR="00616BBF" w:rsidRPr="00AD2332" w:rsidRDefault="00000000">
      <w:pPr>
        <w:rPr>
          <w:color w:val="000000" w:themeColor="text1"/>
        </w:rPr>
      </w:pPr>
      <w:r w:rsidRPr="00AD2332">
        <w:rPr>
          <w:color w:val="000000" w:themeColor="text1"/>
        </w:rPr>
        <w:t>Overall, the most valuable outcome so far is a stronger systems-level mental model. I now connect contract-first API thinking, reproducible infrastructure, empirical load testing, autoscaling strategy, and resilience validation as one end-to-end engineering process.</w:t>
      </w:r>
    </w:p>
    <w:p w14:paraId="6CB98461" w14:textId="77777777" w:rsidR="00616BBF" w:rsidRPr="00AD2332" w:rsidRDefault="00000000">
      <w:pPr>
        <w:pStyle w:val="Heading1"/>
        <w:rPr>
          <w:b w:val="0"/>
          <w:bCs w:val="0"/>
          <w:color w:val="000000" w:themeColor="text1"/>
        </w:rPr>
      </w:pPr>
      <w:r w:rsidRPr="00AD2332">
        <w:rPr>
          <w:b w:val="0"/>
          <w:bCs w:val="0"/>
          <w:color w:val="000000" w:themeColor="text1"/>
        </w:rPr>
        <w:lastRenderedPageBreak/>
        <w:t>Diagram A: HW6 Horizontal Scaling Flow</w:t>
      </w:r>
    </w:p>
    <w:p w14:paraId="24186551" w14:textId="77777777" w:rsidR="00616BBF" w:rsidRPr="00AD2332" w:rsidRDefault="00000000">
      <w:pPr>
        <w:rPr>
          <w:color w:val="000000" w:themeColor="text1"/>
        </w:rPr>
      </w:pPr>
      <w:r w:rsidRPr="00AD2332">
        <w:rPr>
          <w:noProof/>
          <w:color w:val="000000" w:themeColor="text1"/>
        </w:rPr>
        <w:drawing>
          <wp:inline distT="0" distB="0" distL="0" distR="0" wp14:anchorId="41859597" wp14:editId="3CC8A283">
            <wp:extent cx="6126480" cy="3063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w6_scaling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9370" w14:textId="77777777" w:rsidR="00616BBF" w:rsidRPr="00AD2332" w:rsidRDefault="00000000">
      <w:pPr>
        <w:rPr>
          <w:color w:val="000000" w:themeColor="text1"/>
        </w:rPr>
      </w:pPr>
      <w:r w:rsidRPr="00AD2332">
        <w:rPr>
          <w:color w:val="000000" w:themeColor="text1"/>
        </w:rPr>
        <w:t>Figure A. Request flow from load generator to ALB, ECS tasks, CloudWatch, and autoscaling feedback.</w:t>
      </w:r>
    </w:p>
    <w:p w14:paraId="596C26AC" w14:textId="77777777" w:rsidR="00616BBF" w:rsidRPr="00AD2332" w:rsidRDefault="00000000">
      <w:pPr>
        <w:pStyle w:val="Heading1"/>
        <w:rPr>
          <w:b w:val="0"/>
          <w:bCs w:val="0"/>
          <w:color w:val="000000" w:themeColor="text1"/>
        </w:rPr>
      </w:pPr>
      <w:r w:rsidRPr="00AD2332">
        <w:rPr>
          <w:b w:val="0"/>
          <w:bCs w:val="0"/>
          <w:color w:val="000000" w:themeColor="text1"/>
        </w:rPr>
        <w:t>Diagram B: Course Learning Map</w:t>
      </w:r>
    </w:p>
    <w:p w14:paraId="4824A974" w14:textId="12A61487" w:rsidR="00616BBF" w:rsidRPr="00AD2332" w:rsidRDefault="00000000">
      <w:pPr>
        <w:rPr>
          <w:color w:val="000000" w:themeColor="text1"/>
        </w:rPr>
      </w:pPr>
      <w:r w:rsidRPr="00AD2332">
        <w:rPr>
          <w:noProof/>
          <w:color w:val="000000" w:themeColor="text1"/>
        </w:rPr>
        <w:drawing>
          <wp:inline distT="0" distB="0" distL="0" distR="0" wp14:anchorId="780F6190" wp14:editId="011ED9B0">
            <wp:extent cx="6126480" cy="33355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ributed_learning_ma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3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332">
        <w:rPr>
          <w:color w:val="000000" w:themeColor="text1"/>
        </w:rPr>
        <w:t>Figure B. Mental model linking APIs, deployment, observability, load testing, bottleneck analysis, scaling, and resilience.</w:t>
      </w:r>
    </w:p>
    <w:sectPr w:rsidR="00616BBF" w:rsidRPr="00AD23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2896884">
    <w:abstractNumId w:val="8"/>
  </w:num>
  <w:num w:numId="2" w16cid:durableId="2077706147">
    <w:abstractNumId w:val="6"/>
  </w:num>
  <w:num w:numId="3" w16cid:durableId="751003443">
    <w:abstractNumId w:val="5"/>
  </w:num>
  <w:num w:numId="4" w16cid:durableId="1260022850">
    <w:abstractNumId w:val="4"/>
  </w:num>
  <w:num w:numId="5" w16cid:durableId="237252030">
    <w:abstractNumId w:val="7"/>
  </w:num>
  <w:num w:numId="6" w16cid:durableId="1402023517">
    <w:abstractNumId w:val="3"/>
  </w:num>
  <w:num w:numId="7" w16cid:durableId="684475576">
    <w:abstractNumId w:val="2"/>
  </w:num>
  <w:num w:numId="8" w16cid:durableId="1593199220">
    <w:abstractNumId w:val="1"/>
  </w:num>
  <w:num w:numId="9" w16cid:durableId="2081514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E9E"/>
    <w:rsid w:val="0029639D"/>
    <w:rsid w:val="00326F90"/>
    <w:rsid w:val="00616BBF"/>
    <w:rsid w:val="0063047C"/>
    <w:rsid w:val="00AA1D8D"/>
    <w:rsid w:val="00AD233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C0A4C8"/>
  <w14:defaultImageDpi w14:val="300"/>
  <w15:docId w15:val="{246F290F-4940-754F-BF05-20755A409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Chinya Jagadeesha</cp:lastModifiedBy>
  <cp:revision>4</cp:revision>
  <dcterms:created xsi:type="dcterms:W3CDTF">2013-12-23T23:15:00Z</dcterms:created>
  <dcterms:modified xsi:type="dcterms:W3CDTF">2026-02-26T13:05:00Z</dcterms:modified>
  <cp:category/>
</cp:coreProperties>
</file>