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91" w:rsidRDefault="00A91D91" w:rsidP="00A91D91">
      <w:pPr>
        <w:pStyle w:val="Title"/>
        <w:jc w:val="center"/>
      </w:pPr>
      <w:r>
        <w:t>Predicting Gas-Refill Time</w:t>
      </w:r>
    </w:p>
    <w:p w:rsidR="00A91D91" w:rsidRDefault="00A91D91" w:rsidP="00A91D91"/>
    <w:p w:rsidR="00203DAC" w:rsidRPr="00163C0F" w:rsidRDefault="00203DAC" w:rsidP="00163C0F">
      <w:pPr>
        <w:pStyle w:val="Heading1"/>
      </w:pPr>
      <w:r w:rsidRPr="00163C0F">
        <w:t>Introduction</w:t>
      </w:r>
    </w:p>
    <w:p w:rsidR="00A91D91" w:rsidRDefault="00A91D91" w:rsidP="00A91D91">
      <w:r>
        <w:t>Attached data belongs to a machine which runs on a gas, known as c-gas. When the c-gas</w:t>
      </w:r>
      <w:r w:rsidR="00492F85">
        <w:t xml:space="preserve">, </w:t>
      </w:r>
      <w:r>
        <w:t>in gas chamber of machine</w:t>
      </w:r>
      <w:r w:rsidR="00492F85">
        <w:t>,</w:t>
      </w:r>
      <w:r>
        <w:t xml:space="preserve"> </w:t>
      </w:r>
      <w:r w:rsidR="00492F85">
        <w:t xml:space="preserve">depletes, </w:t>
      </w:r>
      <w:r>
        <w:t>or is replaced by exhaust gases</w:t>
      </w:r>
      <w:r w:rsidR="00492F85">
        <w:t>,</w:t>
      </w:r>
      <w:r>
        <w:t xml:space="preserve"> the machine stops. The chamber has to be opened up to let the exhaust gases </w:t>
      </w:r>
      <w:r w:rsidR="00492F85">
        <w:t>flush</w:t>
      </w:r>
      <w:r>
        <w:t xml:space="preserve"> away and c-gas is filled up again.</w:t>
      </w:r>
    </w:p>
    <w:p w:rsidR="00A91D91" w:rsidRDefault="00A91D91" w:rsidP="00A91D91">
      <w:r>
        <w:t>It is difficult to calculate the amount of c-gas in chamber but proportion of the c-gas can be calculated. When this proportion reaches a minima the machine is stopped and refilled.</w:t>
      </w:r>
    </w:p>
    <w:p w:rsidR="00807A1B" w:rsidRDefault="00A91D91" w:rsidP="00A91D91">
      <w:r>
        <w:t>Machine beeps when the c-gas is at lowest and a manual operator refills it. C-gas is difficult to store and hence transport</w:t>
      </w:r>
      <w:r w:rsidR="0060533A">
        <w:t>ing</w:t>
      </w:r>
      <w:r>
        <w:t xml:space="preserve"> it to machine takes</w:t>
      </w:r>
      <w:r w:rsidR="0060533A">
        <w:t xml:space="preserve"> lot of</w:t>
      </w:r>
      <w:r>
        <w:t xml:space="preserve"> time and effort. If the refill time of the c-gas can be predicted </w:t>
      </w:r>
      <w:r w:rsidR="00492F85">
        <w:t xml:space="preserve">before-hand, </w:t>
      </w:r>
      <w:r>
        <w:t>then it is possible to plan the transport and refill it when machine is still running.</w:t>
      </w:r>
    </w:p>
    <w:p w:rsidR="00807A1B" w:rsidRDefault="00807A1B" w:rsidP="00A91D91">
      <w:r>
        <w:t>Duration from the time of refill till the stopping point of machine, is termed as a Cycle.</w:t>
      </w:r>
    </w:p>
    <w:p w:rsidR="0060533A" w:rsidRDefault="00A91D91" w:rsidP="00A91D91">
      <w:r>
        <w:t>The time is calibrated to start at 100 time units (which is the zero time</w:t>
      </w:r>
      <w:r w:rsidR="00A70EF7">
        <w:t>)</w:t>
      </w:r>
      <w:r>
        <w:t>. From then the proportion of the gas i</w:t>
      </w:r>
      <w:r w:rsidR="0060533A">
        <w:t xml:space="preserve">s calculated at each time-unit. If the prediction is made before 1800 time units then the transport and refill can be managed before depletion. But the sooner the better. </w:t>
      </w:r>
    </w:p>
    <w:p w:rsidR="00A91D91" w:rsidRDefault="0060533A" w:rsidP="00A91D91">
      <w:r>
        <w:t xml:space="preserve">(Time unit is the custom time unit for machine. Each machine time unit is </w:t>
      </w:r>
      <w:proofErr w:type="gramStart"/>
      <w:r>
        <w:t>approx..</w:t>
      </w:r>
      <w:proofErr w:type="gramEnd"/>
      <w:r>
        <w:t xml:space="preserve"> 45 minutes. But no conversion is necessary for this problem as the prediction needs to be in same units.)</w:t>
      </w:r>
    </w:p>
    <w:p w:rsidR="00163C0F" w:rsidRDefault="00163C0F" w:rsidP="00163C0F">
      <w:pPr>
        <w:pStyle w:val="Heading1"/>
      </w:pPr>
      <w:r>
        <w:t>Problem Statement</w:t>
      </w:r>
    </w:p>
    <w:p w:rsidR="00163C0F" w:rsidRPr="00163C0F" w:rsidRDefault="00163C0F" w:rsidP="00163C0F">
      <w:r>
        <w:t>Using the proport</w:t>
      </w:r>
      <w:r w:rsidR="00807A1B">
        <w:t>ion of the gas in the chamber</w:t>
      </w:r>
      <w:r>
        <w:t>, the refill time (End of cycle time) needs to be determined before 1800 time units.</w:t>
      </w:r>
      <w:r w:rsidR="00807A1B">
        <w:t xml:space="preserve"> </w:t>
      </w:r>
    </w:p>
    <w:p w:rsidR="00203DAC" w:rsidRDefault="00203DAC" w:rsidP="00A91D91"/>
    <w:p w:rsidR="005B04D8" w:rsidRDefault="005B04D8" w:rsidP="00A91D91"/>
    <w:p w:rsidR="005B04D8" w:rsidRDefault="005B04D8" w:rsidP="00A91D91"/>
    <w:p w:rsidR="005B04D8" w:rsidRDefault="005B04D8" w:rsidP="00A91D91"/>
    <w:p w:rsidR="005B04D8" w:rsidRDefault="005B04D8" w:rsidP="00A91D91"/>
    <w:p w:rsidR="005B04D8" w:rsidRDefault="005B04D8" w:rsidP="00A91D91"/>
    <w:p w:rsidR="005B04D8" w:rsidRDefault="005B04D8" w:rsidP="00A91D91"/>
    <w:p w:rsidR="005B04D8" w:rsidRDefault="005B04D8" w:rsidP="00A91D91"/>
    <w:p w:rsidR="005B04D8" w:rsidRDefault="005B04D8" w:rsidP="00A91D91"/>
    <w:p w:rsidR="005B04D8" w:rsidRDefault="005B04D8" w:rsidP="00A91D91">
      <w:bookmarkStart w:id="0" w:name="_GoBack"/>
      <w:bookmarkEnd w:id="0"/>
    </w:p>
    <w:p w:rsidR="00203DAC" w:rsidRDefault="00203DAC" w:rsidP="00807A1B">
      <w:pPr>
        <w:pStyle w:val="Heading1"/>
      </w:pPr>
      <w:r>
        <w:lastRenderedPageBreak/>
        <w:t>Data:</w:t>
      </w:r>
    </w:p>
    <w:p w:rsidR="00807A1B" w:rsidRPr="00807A1B" w:rsidRDefault="00807A1B" w:rsidP="00807A1B">
      <w:r>
        <w:t xml:space="preserve">Training data consists of 40 cycles. Data per time unit is provided for each cycle in long format. The zero time starts from 101 for all cycles.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013"/>
        <w:gridCol w:w="960"/>
        <w:gridCol w:w="960"/>
      </w:tblGrid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>
            <w:pPr>
              <w:rPr>
                <w:b/>
              </w:rPr>
            </w:pPr>
            <w:r w:rsidRPr="00203DAC">
              <w:rPr>
                <w:b/>
              </w:rPr>
              <w:t>Cycle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>
            <w:pPr>
              <w:rPr>
                <w:b/>
              </w:rPr>
            </w:pPr>
            <w:r w:rsidRPr="00203DAC">
              <w:rPr>
                <w:b/>
              </w:rPr>
              <w:t>Type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>
            <w:pPr>
              <w:rPr>
                <w:b/>
              </w:rPr>
            </w:pPr>
            <w:proofErr w:type="spellStart"/>
            <w:r w:rsidRPr="00203DAC">
              <w:rPr>
                <w:b/>
              </w:rPr>
              <w:t>EndTime</w:t>
            </w:r>
            <w:proofErr w:type="spellEnd"/>
          </w:p>
        </w:tc>
        <w:tc>
          <w:tcPr>
            <w:tcW w:w="960" w:type="dxa"/>
            <w:noWrap/>
            <w:hideMark/>
          </w:tcPr>
          <w:p w:rsidR="00203DAC" w:rsidRPr="00203DAC" w:rsidRDefault="00203DAC">
            <w:pPr>
              <w:rPr>
                <w:b/>
              </w:rPr>
            </w:pPr>
            <w:r w:rsidRPr="00203DAC">
              <w:rPr>
                <w:b/>
              </w:rPr>
              <w:t>Time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>
            <w:pPr>
              <w:rPr>
                <w:b/>
              </w:rPr>
            </w:pPr>
            <w:r w:rsidRPr="00203DAC">
              <w:rPr>
                <w:b/>
              </w:rPr>
              <w:t>Values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101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20.402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20.402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103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20.402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104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20.402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105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20.402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106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20.383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107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20.383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108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20.383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109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20.383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20.383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111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20.36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20.36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113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20.36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114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20.36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115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20.36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116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20.36</w:t>
            </w:r>
          </w:p>
        </w:tc>
      </w:tr>
      <w:tr w:rsidR="00203DAC" w:rsidRPr="00203DAC" w:rsidTr="0006727E">
        <w:trPr>
          <w:trHeight w:val="255"/>
        </w:trPr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  <w:hideMark/>
          </w:tcPr>
          <w:p w:rsidR="00203DAC" w:rsidRPr="00203DAC" w:rsidRDefault="00203DAC" w:rsidP="00203DAC">
            <w:r w:rsidRPr="00203DAC">
              <w:t>3490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117</w:t>
            </w:r>
          </w:p>
        </w:tc>
        <w:tc>
          <w:tcPr>
            <w:tcW w:w="960" w:type="dxa"/>
            <w:noWrap/>
            <w:hideMark/>
          </w:tcPr>
          <w:p w:rsidR="00203DAC" w:rsidRPr="00203DAC" w:rsidRDefault="00203DAC" w:rsidP="00203DAC">
            <w:r w:rsidRPr="00203DAC">
              <w:t>20.36</w:t>
            </w:r>
          </w:p>
        </w:tc>
      </w:tr>
    </w:tbl>
    <w:p w:rsidR="00203DAC" w:rsidRDefault="00203DAC" w:rsidP="00203DAC"/>
    <w:p w:rsidR="0006727E" w:rsidRDefault="0006727E" w:rsidP="00203DAC">
      <w:r w:rsidRPr="0006727E">
        <w:rPr>
          <w:b/>
        </w:rPr>
        <w:t>Cycle</w:t>
      </w:r>
      <w:r>
        <w:t>: Duration from the time of refill, till the end of that refill is called a cycle. The column cycle is just a serial number to represent in a long format.</w:t>
      </w:r>
      <w:r w:rsidR="00163C0F">
        <w:t xml:space="preserve"> (Redundant feature used</w:t>
      </w:r>
      <w:r w:rsidR="00807A1B">
        <w:t xml:space="preserve"> only</w:t>
      </w:r>
      <w:r w:rsidR="00163C0F">
        <w:t xml:space="preserve"> for naming the cycle)</w:t>
      </w:r>
    </w:p>
    <w:p w:rsidR="0006727E" w:rsidRDefault="0006727E" w:rsidP="00203DAC">
      <w:r w:rsidRPr="0006727E">
        <w:rPr>
          <w:b/>
        </w:rPr>
        <w:t>Type</w:t>
      </w:r>
      <w:r>
        <w:t>: Type no. is a type of machine. The solution needs to be invariant of type hence it’s a categorical feature of the machine.</w:t>
      </w:r>
    </w:p>
    <w:p w:rsidR="0006727E" w:rsidRDefault="0006727E" w:rsidP="00203DAC">
      <w:r w:rsidRPr="0006727E">
        <w:rPr>
          <w:b/>
        </w:rPr>
        <w:t>Values</w:t>
      </w:r>
      <w:r>
        <w:t>: C-gas proportion measured per time unit.</w:t>
      </w:r>
    </w:p>
    <w:p w:rsidR="0006727E" w:rsidRDefault="0006727E" w:rsidP="00203DAC">
      <w:r w:rsidRPr="0006727E">
        <w:rPr>
          <w:b/>
        </w:rPr>
        <w:t>Time</w:t>
      </w:r>
      <w:r>
        <w:t>: time units passed</w:t>
      </w:r>
    </w:p>
    <w:p w:rsidR="0006727E" w:rsidRPr="00203DAC" w:rsidRDefault="0006727E" w:rsidP="00203DAC">
      <w:r w:rsidRPr="0006727E">
        <w:rPr>
          <w:b/>
        </w:rPr>
        <w:t>End</w:t>
      </w:r>
      <w:r>
        <w:t xml:space="preserve"> </w:t>
      </w:r>
      <w:r w:rsidRPr="0006727E">
        <w:rPr>
          <w:b/>
        </w:rPr>
        <w:t>Time</w:t>
      </w:r>
      <w:r>
        <w:t>: The time at which the cycle ends. Can also be determined by checking the time value in the end of the cycle in training data.</w:t>
      </w:r>
    </w:p>
    <w:p w:rsidR="0060533A" w:rsidRPr="00497C4B" w:rsidRDefault="00497C4B" w:rsidP="00A91D91">
      <w:pPr>
        <w:rPr>
          <w:b/>
        </w:rPr>
      </w:pPr>
      <w:r w:rsidRPr="00497C4B">
        <w:rPr>
          <w:b/>
        </w:rPr>
        <w:t>Testing:</w:t>
      </w:r>
    </w:p>
    <w:p w:rsidR="00497C4B" w:rsidRPr="005B04D8" w:rsidRDefault="00497C4B" w:rsidP="00807A1B">
      <w:r>
        <w:t>The test data will only have cycles till time 1800 time units. End time</w:t>
      </w:r>
      <w:r w:rsidR="005B04D8">
        <w:t xml:space="preserve"> needs to be predicted </w:t>
      </w:r>
      <w:r>
        <w:t>for each cycle. Sample submission is attached.</w:t>
      </w:r>
    </w:p>
    <w:p w:rsidR="0060533A" w:rsidRPr="005B04D8" w:rsidRDefault="00497C4B" w:rsidP="00807A1B">
      <w:pPr>
        <w:pStyle w:val="Heading1"/>
      </w:pPr>
      <w:r w:rsidRPr="005B04D8">
        <w:t>Evaluation criteria</w:t>
      </w:r>
    </w:p>
    <w:p w:rsidR="0060533A" w:rsidRPr="00497C4B" w:rsidRDefault="00497C4B" w:rsidP="00A91D91">
      <w:r w:rsidRPr="00497C4B">
        <w:t xml:space="preserve">Mean absolute error </w:t>
      </w:r>
    </w:p>
    <w:sectPr w:rsidR="0060533A" w:rsidRPr="0049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91"/>
    <w:rsid w:val="0006727E"/>
    <w:rsid w:val="00163C0F"/>
    <w:rsid w:val="00203DAC"/>
    <w:rsid w:val="00492F85"/>
    <w:rsid w:val="00497C4B"/>
    <w:rsid w:val="004F7678"/>
    <w:rsid w:val="005B04D8"/>
    <w:rsid w:val="0060533A"/>
    <w:rsid w:val="006D4617"/>
    <w:rsid w:val="00807A1B"/>
    <w:rsid w:val="00A70EF7"/>
    <w:rsid w:val="00A91D91"/>
    <w:rsid w:val="00C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9659-3AE8-49FA-A672-E96323BD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3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3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Nemade Akshay Devram (RBEI/EDS)</dc:creator>
  <cp:keywords/>
  <dc:description/>
  <cp:lastModifiedBy>Nemade Akshay Devram (RBEI/EDS)</cp:lastModifiedBy>
  <cp:revision>9</cp:revision>
  <dcterms:created xsi:type="dcterms:W3CDTF">2019-06-10T06:54:00Z</dcterms:created>
  <dcterms:modified xsi:type="dcterms:W3CDTF">2019-06-11T06:53:00Z</dcterms:modified>
</cp:coreProperties>
</file>