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37A56" w14:textId="6EB22714" w:rsidR="00871DD7" w:rsidRDefault="00000000">
      <w:pPr>
        <w:spacing w:before="2400"/>
        <w:jc w:val="center"/>
      </w:pPr>
      <w:r>
        <w:rPr>
          <w:b/>
          <w:sz w:val="32"/>
        </w:rPr>
        <w:t xml:space="preserve">ERP Connect </w:t>
      </w:r>
      <w:r w:rsidR="00546BEB">
        <w:rPr>
          <w:b/>
          <w:sz w:val="32"/>
        </w:rPr>
        <w:t>CognitION</w:t>
      </w:r>
      <w:r>
        <w:rPr>
          <w:b/>
          <w:sz w:val="32"/>
        </w:rPr>
        <w:t>:</w:t>
      </w:r>
      <w:r>
        <w:rPr>
          <w:b/>
          <w:sz w:val="32"/>
        </w:rPr>
        <w:br/>
        <w:t xml:space="preserve">Fine-tuning </w:t>
      </w:r>
      <w:proofErr w:type="spellStart"/>
      <w:r>
        <w:rPr>
          <w:b/>
          <w:sz w:val="32"/>
        </w:rPr>
        <w:t>TinyLlama</w:t>
      </w:r>
      <w:proofErr w:type="spellEnd"/>
      <w:r>
        <w:rPr>
          <w:b/>
          <w:sz w:val="32"/>
        </w:rPr>
        <w:t xml:space="preserve"> for </w:t>
      </w:r>
      <w:r w:rsidR="00546BEB">
        <w:rPr>
          <w:b/>
          <w:sz w:val="32"/>
        </w:rPr>
        <w:t xml:space="preserve">ERP </w:t>
      </w:r>
      <w:r>
        <w:rPr>
          <w:b/>
          <w:sz w:val="32"/>
        </w:rPr>
        <w:t xml:space="preserve"> Integration Support</w:t>
      </w:r>
    </w:p>
    <w:p w14:paraId="313915AD" w14:textId="77777777" w:rsidR="00871DD7" w:rsidRDefault="00000000">
      <w:pPr>
        <w:spacing w:before="960"/>
        <w:jc w:val="center"/>
      </w:pPr>
      <w:r>
        <w:rPr>
          <w:i/>
          <w:sz w:val="26"/>
        </w:rPr>
        <w:t>A Technical Implementation Study</w:t>
      </w:r>
    </w:p>
    <w:p w14:paraId="76015EEB" w14:textId="77777777" w:rsidR="00871DD7" w:rsidRDefault="00871DD7"/>
    <w:p w14:paraId="2DA34BBE" w14:textId="77777777" w:rsidR="00871DD7" w:rsidRDefault="00871DD7"/>
    <w:p w14:paraId="6C9D80ED" w14:textId="77777777" w:rsidR="00871DD7" w:rsidRDefault="00000000">
      <w:pPr>
        <w:jc w:val="center"/>
      </w:pPr>
      <w:r>
        <w:t>Project Type: AI-Powered Support System</w:t>
      </w:r>
    </w:p>
    <w:p w14:paraId="7167FA2F" w14:textId="77777777" w:rsidR="00871DD7" w:rsidRDefault="00000000">
      <w:pPr>
        <w:jc w:val="center"/>
      </w:pPr>
      <w:r>
        <w:t>Technology: Large Language Model Fine-tuning with RAG</w:t>
      </w:r>
    </w:p>
    <w:p w14:paraId="3AFDEF2B" w14:textId="77777777" w:rsidR="00871DD7" w:rsidRDefault="00000000">
      <w:r>
        <w:br w:type="page"/>
      </w:r>
    </w:p>
    <w:p w14:paraId="3ACD0D9A" w14:textId="77777777" w:rsidR="00871DD7" w:rsidRDefault="00000000">
      <w:pPr>
        <w:pStyle w:val="Heading1"/>
      </w:pPr>
      <w:r>
        <w:lastRenderedPageBreak/>
        <w:t>Abstract</w:t>
      </w:r>
    </w:p>
    <w:p w14:paraId="678FA3A3" w14:textId="1281C1A7" w:rsidR="00871DD7" w:rsidRDefault="00000000">
      <w:pPr>
        <w:jc w:val="both"/>
      </w:pPr>
      <w:r>
        <w:t xml:space="preserve">This </w:t>
      </w:r>
      <w:r w:rsidR="00714F50">
        <w:t>project</w:t>
      </w:r>
      <w:r>
        <w:t xml:space="preserve"> presents the development and evaluation of ERP Connect </w:t>
      </w:r>
      <w:r w:rsidR="00546BEB">
        <w:t>CognitION</w:t>
      </w:r>
      <w:r>
        <w:t>, an AI-powered technical support system for CTRM-SAP integration. The system employs TinyLlama-1.1B, a compact yet capable language model, fine-tuned using Low-Rank Adaptation (LoRA) and enhanced with Retrieval-Augmented Generation (RAG) to provide accurate, context-aware responses to integration queries. Training on 1,200 domain-specific samples achieved exceptional convergence with a final validation loss of 0.033, representing 98.6% improvement from initial values. The model completed training in 11 minutes on a T4 GPU, demonstrating efficient resource utilization. Evaluation revealed strong semantic understanding with cosine similarity of 0.849, though traditional overlap-based metrics (ROUGE-L: 0.523, BLEU: 0.364) showed moderate scores due to verbosity differences rather than quality deficiencies. Qualitative analysis confirmed technically accurate, coherent responses with minimal repetition. The system successfully addresses the challenge of providing consistent, high-quality technical support for complex ERP integration scenarios while maintaining computational efficiency suitable for production deployment.</w:t>
      </w:r>
    </w:p>
    <w:p w14:paraId="792A8647" w14:textId="77777777" w:rsidR="00871DD7" w:rsidRDefault="00000000">
      <w:r>
        <w:br w:type="page"/>
      </w:r>
    </w:p>
    <w:p w14:paraId="6F6E5D02" w14:textId="77777777" w:rsidR="00871DD7" w:rsidRDefault="00000000">
      <w:pPr>
        <w:pStyle w:val="Heading1"/>
      </w:pPr>
      <w:r>
        <w:lastRenderedPageBreak/>
        <w:t>1. Introduction</w:t>
      </w:r>
    </w:p>
    <w:p w14:paraId="77F30272" w14:textId="77777777" w:rsidR="00871DD7" w:rsidRDefault="00000000">
      <w:pPr>
        <w:jc w:val="both"/>
      </w:pPr>
      <w:r>
        <w:t>Enterprise Resource Planning (ERP) systems serve as the backbone of modern business operations, integrating diverse functional areas including finance, supply chain, human resources, and manufacturing. The integration of specialized systems such as Commodity Trading and Risk Management (CTRM) platforms with core ERP systems like SAP presents significant technical challenges. These integrations require deep domain knowledge, understanding of complex data mappings, and familiarity with both system architectures.</w:t>
      </w:r>
    </w:p>
    <w:p w14:paraId="40B1BED5" w14:textId="77777777" w:rsidR="00871DD7" w:rsidRDefault="00000000">
      <w:pPr>
        <w:jc w:val="both"/>
      </w:pPr>
      <w:r>
        <w:t>Technical support for such integrations traditionally relies on human experts who possess years of accumulated knowledge about system configurations, common error patterns, and resolution procedures. This approach faces several limitations: knowledge silos when experts leave organizations, inconsistent response quality across different support personnel, time-intensive query resolution processes, and difficulty in scaling support as integration complexity grows.</w:t>
      </w:r>
    </w:p>
    <w:p w14:paraId="7DF2CF1C" w14:textId="77777777" w:rsidR="00871DD7" w:rsidRDefault="00000000">
      <w:pPr>
        <w:jc w:val="both"/>
      </w:pPr>
      <w:r>
        <w:t>Recent advances in Large Language Models (LLMs) offer promising solutions to these challenges. However, deploying general-purpose LLMs directly faces obstacles: lack of domain-specific knowledge, computational requirements unsuitable for corporate environments, and inability to access organization-specific documentation and procedures. This research addresses these limitations through a hybrid approach combining parameter-efficient fine-tuning with retrieval-augmented generation.</w:t>
      </w:r>
    </w:p>
    <w:p w14:paraId="67006E4A" w14:textId="651688B9" w:rsidR="00871DD7" w:rsidRDefault="00000000">
      <w:pPr>
        <w:jc w:val="both"/>
      </w:pPr>
      <w:r>
        <w:t xml:space="preserve">This </w:t>
      </w:r>
      <w:r w:rsidR="00714F50">
        <w:t>project</w:t>
      </w:r>
      <w:r>
        <w:t xml:space="preserve"> documents the development, implementation, and evaluation of ERP Connect </w:t>
      </w:r>
      <w:r w:rsidR="00546BEB">
        <w:t>CognitION</w:t>
      </w:r>
      <w:r>
        <w:t>, demonstrating that a relatively small language model (1.1B parameters) can be effectively adapted for specialized technical support tasks while maintaining computational efficiency suitable for CPU-only deployment environments typical in enterprise settings.</w:t>
      </w:r>
    </w:p>
    <w:p w14:paraId="1693F64F" w14:textId="77777777" w:rsidR="00871DD7" w:rsidRDefault="00000000">
      <w:r>
        <w:br w:type="page"/>
      </w:r>
    </w:p>
    <w:p w14:paraId="455CFDFB" w14:textId="77777777" w:rsidR="00871DD7" w:rsidRDefault="00000000">
      <w:pPr>
        <w:pStyle w:val="Heading1"/>
      </w:pPr>
      <w:r>
        <w:lastRenderedPageBreak/>
        <w:t>2. Problem Statement</w:t>
      </w:r>
    </w:p>
    <w:p w14:paraId="1B885263" w14:textId="77777777" w:rsidR="00871DD7" w:rsidRDefault="00000000">
      <w:pPr>
        <w:jc w:val="both"/>
      </w:pPr>
      <w:r>
        <w:t>CTRM-SAP integration environments present unique technical support challenges that existing solutions inadequately address. The problem space encompasses several critical dimensions:</w:t>
      </w:r>
    </w:p>
    <w:p w14:paraId="57CD6F63" w14:textId="77777777" w:rsidR="00871DD7" w:rsidRDefault="00000000">
      <w:pPr>
        <w:pStyle w:val="Heading2"/>
      </w:pPr>
      <w:r>
        <w:t>2.1 Knowledge Management Challenges</w:t>
      </w:r>
    </w:p>
    <w:p w14:paraId="7F37177B" w14:textId="77777777" w:rsidR="00871DD7" w:rsidRDefault="00000000">
      <w:pPr>
        <w:jc w:val="both"/>
      </w:pPr>
      <w:r>
        <w:t>Integration knowledge exists in fragmented forms across multiple sources: system documentation, historical ticket resolutions, internal wikis, and individual expert knowledge. Retrieving relevant information requires significant time and expertise. Knowledge attrition occurs when experienced personnel transition, taking contextual understanding with them. Documentation often lags behind system changes, creating accuracy gaps.</w:t>
      </w:r>
    </w:p>
    <w:p w14:paraId="7F8CC6CF" w14:textId="77777777" w:rsidR="00871DD7" w:rsidRDefault="00000000">
      <w:pPr>
        <w:pStyle w:val="Heading2"/>
      </w:pPr>
      <w:r>
        <w:t>2.2 Response Time Requirements</w:t>
      </w:r>
    </w:p>
    <w:p w14:paraId="56B40096" w14:textId="77777777" w:rsidR="00871DD7" w:rsidRDefault="00000000">
      <w:pPr>
        <w:jc w:val="both"/>
      </w:pPr>
      <w:r>
        <w:t>Production issues in integrated ERP environments demand rapid resolution. Interface failures can halt critical business processes affecting revenue recognition, inventory management, and financial reporting. Traditional support workflows involving ticket assignment, expert consultation, and solution documentation introduce delays incompatible with business continuity requirements.</w:t>
      </w:r>
    </w:p>
    <w:p w14:paraId="52877167" w14:textId="77777777" w:rsidR="00871DD7" w:rsidRDefault="00000000">
      <w:pPr>
        <w:pStyle w:val="Heading2"/>
      </w:pPr>
      <w:r>
        <w:t>2.3 Consistency and Accuracy Requirements</w:t>
      </w:r>
    </w:p>
    <w:p w14:paraId="31166060" w14:textId="77777777" w:rsidR="00871DD7" w:rsidRDefault="00000000">
      <w:pPr>
        <w:jc w:val="both"/>
      </w:pPr>
      <w:r>
        <w:t>Support quality varies based on personnel availability and expertise levels. Similar issues may receive different resolutions from different support staff. Documentation of solutions lacks standardization. Verification of proposed solutions requires additional expert review, introducing further delays.</w:t>
      </w:r>
    </w:p>
    <w:p w14:paraId="427C0231" w14:textId="77777777" w:rsidR="00871DD7" w:rsidRDefault="00000000">
      <w:pPr>
        <w:pStyle w:val="Heading2"/>
      </w:pPr>
      <w:r>
        <w:t>2.4 Technical Constraints</w:t>
      </w:r>
    </w:p>
    <w:p w14:paraId="2A6CD7EF" w14:textId="77777777" w:rsidR="00871DD7" w:rsidRDefault="00000000">
      <w:pPr>
        <w:jc w:val="both"/>
      </w:pPr>
      <w:r>
        <w:t>Corporate environments impose significant constraints on AI solution deployment: CPU-only hardware without GPU acceleration, network security policies including SSL interception, limited ability to use cloud-based AI services due to data privacy requirements, and restricted computational resources compared to research environments. These constraints eliminate many state-of-the-art LLM solutions requiring substantial computational resources.</w:t>
      </w:r>
    </w:p>
    <w:p w14:paraId="2CA4C644" w14:textId="77777777" w:rsidR="00871DD7" w:rsidRDefault="00000000">
      <w:r>
        <w:br w:type="page"/>
      </w:r>
    </w:p>
    <w:p w14:paraId="4856DB65" w14:textId="77777777" w:rsidR="00871DD7" w:rsidRDefault="00000000">
      <w:pPr>
        <w:pStyle w:val="Heading1"/>
      </w:pPr>
      <w:r>
        <w:lastRenderedPageBreak/>
        <w:t>3. Design Approach</w:t>
      </w:r>
    </w:p>
    <w:p w14:paraId="472B907A" w14:textId="77777777" w:rsidR="00871DD7" w:rsidRDefault="00000000">
      <w:pPr>
        <w:pStyle w:val="Heading2"/>
      </w:pPr>
      <w:r>
        <w:t>3.1 System Architecture</w:t>
      </w:r>
    </w:p>
    <w:p w14:paraId="6D52698A" w14:textId="77777777" w:rsidR="00871DD7" w:rsidRDefault="00000000">
      <w:pPr>
        <w:jc w:val="both"/>
      </w:pPr>
      <w:r>
        <w:t>The system architecture integrates three primary components: a fine-tuned language model for response generation, a retrieval-augmented generation system for context-aware querying, and a web-based interface for user interaction. The fine-tuned TinyLlama model serves as the core reasoning engine, trained specifically on CTRM-SAP integration scenarios. The RAG system maintains a vector database of technical documentation, enabling semantic search and context injection. The Gradio-based interface provides an accessible deployment mechanism suitable for both demonstration and production use.</w:t>
      </w:r>
    </w:p>
    <w:p w14:paraId="0DA7CF71" w14:textId="77777777" w:rsidR="00871DD7" w:rsidRDefault="00000000">
      <w:pPr>
        <w:jc w:val="both"/>
      </w:pPr>
      <w:r>
        <w:t>Query processing follows a pipeline architecture: user queries first undergo semantic embedding using sentence-transformers, the RAG system retrieves the top-k most relevant documentation chunks via FAISS vector similarity search, retrieved context concatenates with the user query, and the fine-tuned model generates responses incorporating both query and context. This architecture enables the model to leverage both learned patterns from training and specific technical details from documentation.</w:t>
      </w:r>
    </w:p>
    <w:p w14:paraId="72F835B2" w14:textId="77777777" w:rsidR="00712FCF" w:rsidRDefault="00712FCF">
      <w:pPr>
        <w:jc w:val="both"/>
      </w:pPr>
    </w:p>
    <w:p w14:paraId="67147E28" w14:textId="3C4D3883" w:rsidR="00712FCF" w:rsidRDefault="00E33D1A">
      <w:pPr>
        <w:jc w:val="both"/>
      </w:pPr>
      <w:r w:rsidRPr="00E33D1A">
        <w:drawing>
          <wp:inline distT="0" distB="0" distL="0" distR="0" wp14:anchorId="797DCF3B" wp14:editId="111B777D">
            <wp:extent cx="5486400" cy="3814445"/>
            <wp:effectExtent l="0" t="0" r="0" b="0"/>
            <wp:docPr id="176048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83061" name=""/>
                    <pic:cNvPicPr/>
                  </pic:nvPicPr>
                  <pic:blipFill>
                    <a:blip r:embed="rId8"/>
                    <a:stretch>
                      <a:fillRect/>
                    </a:stretch>
                  </pic:blipFill>
                  <pic:spPr>
                    <a:xfrm>
                      <a:off x="0" y="0"/>
                      <a:ext cx="5486400" cy="3814445"/>
                    </a:xfrm>
                    <a:prstGeom prst="rect">
                      <a:avLst/>
                    </a:prstGeom>
                  </pic:spPr>
                </pic:pic>
              </a:graphicData>
            </a:graphic>
          </wp:inline>
        </w:drawing>
      </w:r>
    </w:p>
    <w:p w14:paraId="7B332F3C" w14:textId="55327D09" w:rsidR="00712FCF" w:rsidRPr="00712FCF" w:rsidRDefault="00712FCF" w:rsidP="00712FCF">
      <w:pPr>
        <w:spacing w:before="120"/>
        <w:jc w:val="center"/>
        <w:rPr>
          <w:i/>
          <w:sz w:val="22"/>
        </w:rPr>
      </w:pPr>
      <w:r w:rsidRPr="00712FCF">
        <w:rPr>
          <w:i/>
          <w:sz w:val="22"/>
        </w:rPr>
        <w:t>Fig 3.1 ERP-Connect Cogni</w:t>
      </w:r>
      <w:r>
        <w:rPr>
          <w:i/>
          <w:sz w:val="22"/>
        </w:rPr>
        <w:t>tIO</w:t>
      </w:r>
      <w:r w:rsidR="00D51E94">
        <w:rPr>
          <w:i/>
          <w:sz w:val="22"/>
        </w:rPr>
        <w:t>N</w:t>
      </w:r>
      <w:r w:rsidRPr="00712FCF">
        <w:rPr>
          <w:i/>
          <w:sz w:val="22"/>
        </w:rPr>
        <w:t xml:space="preserve"> – System Architecture</w:t>
      </w:r>
    </w:p>
    <w:p w14:paraId="79CDE2B6" w14:textId="77777777" w:rsidR="00871DD7" w:rsidRDefault="00000000">
      <w:pPr>
        <w:pStyle w:val="Heading2"/>
      </w:pPr>
      <w:r>
        <w:lastRenderedPageBreak/>
        <w:t>3.2 Model Selection Criteria</w:t>
      </w:r>
    </w:p>
    <w:p w14:paraId="6A7F56F4" w14:textId="77777777" w:rsidR="00871DD7" w:rsidRDefault="00000000">
      <w:pPr>
        <w:jc w:val="both"/>
      </w:pPr>
      <w:r>
        <w:t>Model selection considered multiple factors: parameter count and computational requirements, architectural suitability for instruction-following tasks, training efficiency on limited GPU resources, inference speed on CPU hardware, and demonstrated performance on similar tasks. The evaluation compared three candidate models across these dimensions.</w:t>
      </w:r>
    </w:p>
    <w:tbl>
      <w:tblPr>
        <w:tblStyle w:val="LightGrid-Accent1"/>
        <w:tblW w:w="0" w:type="auto"/>
        <w:tblLook w:val="04A0" w:firstRow="1" w:lastRow="0" w:firstColumn="1" w:lastColumn="0" w:noHBand="0" w:noVBand="1"/>
      </w:tblPr>
      <w:tblGrid>
        <w:gridCol w:w="1724"/>
        <w:gridCol w:w="1725"/>
        <w:gridCol w:w="1726"/>
        <w:gridCol w:w="1722"/>
        <w:gridCol w:w="1723"/>
      </w:tblGrid>
      <w:tr w:rsidR="00871DD7" w14:paraId="6ACAC2D5" w14:textId="77777777" w:rsidTr="00871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9D9D9"/>
          </w:tcPr>
          <w:p w14:paraId="3237ABC7" w14:textId="77777777" w:rsidR="00871DD7" w:rsidRDefault="00000000">
            <w:r>
              <w:t>Model</w:t>
            </w:r>
          </w:p>
        </w:tc>
        <w:tc>
          <w:tcPr>
            <w:tcW w:w="1728" w:type="dxa"/>
            <w:shd w:val="clear" w:color="auto" w:fill="D9D9D9"/>
          </w:tcPr>
          <w:p w14:paraId="1CC5C2AB" w14:textId="77777777" w:rsidR="00871DD7" w:rsidRDefault="00000000">
            <w:pPr>
              <w:cnfStyle w:val="100000000000" w:firstRow="1" w:lastRow="0" w:firstColumn="0" w:lastColumn="0" w:oddVBand="0" w:evenVBand="0" w:oddHBand="0" w:evenHBand="0" w:firstRowFirstColumn="0" w:firstRowLastColumn="0" w:lastRowFirstColumn="0" w:lastRowLastColumn="0"/>
            </w:pPr>
            <w:r>
              <w:t>Parameters</w:t>
            </w:r>
          </w:p>
        </w:tc>
        <w:tc>
          <w:tcPr>
            <w:tcW w:w="1728" w:type="dxa"/>
            <w:shd w:val="clear" w:color="auto" w:fill="D9D9D9"/>
          </w:tcPr>
          <w:p w14:paraId="69C9D7A3" w14:textId="77777777" w:rsidR="00871DD7" w:rsidRDefault="00000000">
            <w:pPr>
              <w:cnfStyle w:val="100000000000" w:firstRow="1" w:lastRow="0" w:firstColumn="0" w:lastColumn="0" w:oddVBand="0" w:evenVBand="0" w:oddHBand="0" w:evenHBand="0" w:firstRowFirstColumn="0" w:firstRowLastColumn="0" w:lastRowFirstColumn="0" w:lastRowLastColumn="0"/>
            </w:pPr>
            <w:r>
              <w:t>Architecture</w:t>
            </w:r>
          </w:p>
        </w:tc>
        <w:tc>
          <w:tcPr>
            <w:tcW w:w="1728" w:type="dxa"/>
            <w:shd w:val="clear" w:color="auto" w:fill="D9D9D9"/>
          </w:tcPr>
          <w:p w14:paraId="7F6266EC" w14:textId="77777777" w:rsidR="00871DD7" w:rsidRDefault="00000000">
            <w:pPr>
              <w:cnfStyle w:val="100000000000" w:firstRow="1" w:lastRow="0" w:firstColumn="0" w:lastColumn="0" w:oddVBand="0" w:evenVBand="0" w:oddHBand="0" w:evenHBand="0" w:firstRowFirstColumn="0" w:firstRowLastColumn="0" w:lastRowFirstColumn="0" w:lastRowLastColumn="0"/>
            </w:pPr>
            <w:r>
              <w:t>Training Time</w:t>
            </w:r>
          </w:p>
        </w:tc>
        <w:tc>
          <w:tcPr>
            <w:tcW w:w="1728" w:type="dxa"/>
            <w:shd w:val="clear" w:color="auto" w:fill="D9D9D9"/>
          </w:tcPr>
          <w:p w14:paraId="7D135C59" w14:textId="77777777" w:rsidR="00871DD7" w:rsidRDefault="00000000">
            <w:pPr>
              <w:cnfStyle w:val="100000000000" w:firstRow="1" w:lastRow="0" w:firstColumn="0" w:lastColumn="0" w:oddVBand="0" w:evenVBand="0" w:oddHBand="0" w:evenHBand="0" w:firstRowFirstColumn="0" w:firstRowLastColumn="0" w:lastRowFirstColumn="0" w:lastRowLastColumn="0"/>
            </w:pPr>
            <w:r>
              <w:t>Result</w:t>
            </w:r>
          </w:p>
        </w:tc>
      </w:tr>
      <w:tr w:rsidR="00871DD7" w14:paraId="41C92C9D"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A152FF" w14:textId="77777777" w:rsidR="00871DD7" w:rsidRDefault="00000000">
            <w:r>
              <w:t>GPT-2</w:t>
            </w:r>
          </w:p>
        </w:tc>
        <w:tc>
          <w:tcPr>
            <w:tcW w:w="1728" w:type="dxa"/>
          </w:tcPr>
          <w:p w14:paraId="6AF9F6F2" w14:textId="77777777" w:rsidR="00871DD7" w:rsidRDefault="00000000">
            <w:pPr>
              <w:cnfStyle w:val="000000100000" w:firstRow="0" w:lastRow="0" w:firstColumn="0" w:lastColumn="0" w:oddVBand="0" w:evenVBand="0" w:oddHBand="1" w:evenHBand="0" w:firstRowFirstColumn="0" w:firstRowLastColumn="0" w:lastRowFirstColumn="0" w:lastRowLastColumn="0"/>
            </w:pPr>
            <w:r>
              <w:t>124M</w:t>
            </w:r>
          </w:p>
        </w:tc>
        <w:tc>
          <w:tcPr>
            <w:tcW w:w="1728" w:type="dxa"/>
          </w:tcPr>
          <w:p w14:paraId="12839AED" w14:textId="77777777" w:rsidR="00871DD7" w:rsidRDefault="00000000">
            <w:pPr>
              <w:cnfStyle w:val="000000100000" w:firstRow="0" w:lastRow="0" w:firstColumn="0" w:lastColumn="0" w:oddVBand="0" w:evenVBand="0" w:oddHBand="1" w:evenHBand="0" w:firstRowFirstColumn="0" w:firstRowLastColumn="0" w:lastRowFirstColumn="0" w:lastRowLastColumn="0"/>
            </w:pPr>
            <w:r>
              <w:t>Causal LM</w:t>
            </w:r>
          </w:p>
        </w:tc>
        <w:tc>
          <w:tcPr>
            <w:tcW w:w="1728" w:type="dxa"/>
          </w:tcPr>
          <w:p w14:paraId="5DDB370F" w14:textId="77777777" w:rsidR="00871DD7" w:rsidRDefault="00000000">
            <w:pPr>
              <w:cnfStyle w:val="000000100000" w:firstRow="0" w:lastRow="0" w:firstColumn="0" w:lastColumn="0" w:oddVBand="0" w:evenVBand="0" w:oddHBand="1" w:evenHBand="0" w:firstRowFirstColumn="0" w:firstRowLastColumn="0" w:lastRowFirstColumn="0" w:lastRowLastColumn="0"/>
            </w:pPr>
            <w:r>
              <w:t>8 hours (CPU)</w:t>
            </w:r>
          </w:p>
        </w:tc>
        <w:tc>
          <w:tcPr>
            <w:tcW w:w="1728" w:type="dxa"/>
          </w:tcPr>
          <w:p w14:paraId="3DDC26CC" w14:textId="77777777" w:rsidR="00871DD7" w:rsidRDefault="00000000">
            <w:pPr>
              <w:cnfStyle w:val="000000100000" w:firstRow="0" w:lastRow="0" w:firstColumn="0" w:lastColumn="0" w:oddVBand="0" w:evenVBand="0" w:oddHBand="1" w:evenHBand="0" w:firstRowFirstColumn="0" w:firstRowLastColumn="0" w:lastRowFirstColumn="0" w:lastRowLastColumn="0"/>
            </w:pPr>
            <w:r>
              <w:t>Repetitive</w:t>
            </w:r>
          </w:p>
        </w:tc>
      </w:tr>
      <w:tr w:rsidR="00871DD7" w14:paraId="4260857C" w14:textId="77777777" w:rsidTr="00871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C147F8" w14:textId="77777777" w:rsidR="00871DD7" w:rsidRDefault="00000000">
            <w:r>
              <w:t>Flan-T5</w:t>
            </w:r>
          </w:p>
        </w:tc>
        <w:tc>
          <w:tcPr>
            <w:tcW w:w="1728" w:type="dxa"/>
          </w:tcPr>
          <w:p w14:paraId="5AF2D321" w14:textId="77777777" w:rsidR="00871DD7" w:rsidRDefault="00000000">
            <w:pPr>
              <w:cnfStyle w:val="000000010000" w:firstRow="0" w:lastRow="0" w:firstColumn="0" w:lastColumn="0" w:oddVBand="0" w:evenVBand="0" w:oddHBand="0" w:evenHBand="1" w:firstRowFirstColumn="0" w:firstRowLastColumn="0" w:lastRowFirstColumn="0" w:lastRowLastColumn="0"/>
            </w:pPr>
            <w:r>
              <w:t>250M</w:t>
            </w:r>
          </w:p>
        </w:tc>
        <w:tc>
          <w:tcPr>
            <w:tcW w:w="1728" w:type="dxa"/>
          </w:tcPr>
          <w:p w14:paraId="309A7141" w14:textId="77777777" w:rsidR="00871DD7" w:rsidRDefault="00000000">
            <w:pPr>
              <w:cnfStyle w:val="000000010000" w:firstRow="0" w:lastRow="0" w:firstColumn="0" w:lastColumn="0" w:oddVBand="0" w:evenVBand="0" w:oddHBand="0" w:evenHBand="1" w:firstRowFirstColumn="0" w:firstRowLastColumn="0" w:lastRowFirstColumn="0" w:lastRowLastColumn="0"/>
            </w:pPr>
            <w:r>
              <w:t>Seq2Seq</w:t>
            </w:r>
          </w:p>
        </w:tc>
        <w:tc>
          <w:tcPr>
            <w:tcW w:w="1728" w:type="dxa"/>
          </w:tcPr>
          <w:p w14:paraId="2FF7A368" w14:textId="77777777" w:rsidR="00871DD7" w:rsidRDefault="00000000">
            <w:pPr>
              <w:cnfStyle w:val="000000010000" w:firstRow="0" w:lastRow="0" w:firstColumn="0" w:lastColumn="0" w:oddVBand="0" w:evenVBand="0" w:oddHBand="0" w:evenHBand="1" w:firstRowFirstColumn="0" w:firstRowLastColumn="0" w:lastRowFirstColumn="0" w:lastRowLastColumn="0"/>
            </w:pPr>
            <w:r>
              <w:t>18 min (GPU)</w:t>
            </w:r>
          </w:p>
        </w:tc>
        <w:tc>
          <w:tcPr>
            <w:tcW w:w="1728" w:type="dxa"/>
          </w:tcPr>
          <w:p w14:paraId="4A44899F" w14:textId="77777777" w:rsidR="00871DD7" w:rsidRDefault="00000000">
            <w:pPr>
              <w:cnfStyle w:val="000000010000" w:firstRow="0" w:lastRow="0" w:firstColumn="0" w:lastColumn="0" w:oddVBand="0" w:evenVBand="0" w:oddHBand="0" w:evenHBand="1" w:firstRowFirstColumn="0" w:firstRowLastColumn="0" w:lastRowFirstColumn="0" w:lastRowLastColumn="0"/>
            </w:pPr>
            <w:r>
              <w:t>Incoherent</w:t>
            </w:r>
          </w:p>
        </w:tc>
      </w:tr>
      <w:tr w:rsidR="00871DD7" w14:paraId="6ECA8035"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8F4E8"/>
          </w:tcPr>
          <w:p w14:paraId="0BEDAF08" w14:textId="77777777" w:rsidR="00871DD7" w:rsidRDefault="00000000">
            <w:r>
              <w:t>TinyLlama</w:t>
            </w:r>
          </w:p>
        </w:tc>
        <w:tc>
          <w:tcPr>
            <w:tcW w:w="1728" w:type="dxa"/>
            <w:shd w:val="clear" w:color="auto" w:fill="E8F4E8"/>
          </w:tcPr>
          <w:p w14:paraId="3860763C" w14:textId="77777777" w:rsidR="00871DD7" w:rsidRDefault="00000000">
            <w:pPr>
              <w:cnfStyle w:val="000000100000" w:firstRow="0" w:lastRow="0" w:firstColumn="0" w:lastColumn="0" w:oddVBand="0" w:evenVBand="0" w:oddHBand="1" w:evenHBand="0" w:firstRowFirstColumn="0" w:firstRowLastColumn="0" w:lastRowFirstColumn="0" w:lastRowLastColumn="0"/>
            </w:pPr>
            <w:r>
              <w:rPr>
                <w:b/>
              </w:rPr>
              <w:t>1.1B</w:t>
            </w:r>
          </w:p>
        </w:tc>
        <w:tc>
          <w:tcPr>
            <w:tcW w:w="1728" w:type="dxa"/>
            <w:shd w:val="clear" w:color="auto" w:fill="E8F4E8"/>
          </w:tcPr>
          <w:p w14:paraId="67A4BBB4" w14:textId="77777777" w:rsidR="00871DD7" w:rsidRDefault="00000000">
            <w:pPr>
              <w:cnfStyle w:val="000000100000" w:firstRow="0" w:lastRow="0" w:firstColumn="0" w:lastColumn="0" w:oddVBand="0" w:evenVBand="0" w:oddHBand="1" w:evenHBand="0" w:firstRowFirstColumn="0" w:firstRowLastColumn="0" w:lastRowFirstColumn="0" w:lastRowLastColumn="0"/>
            </w:pPr>
            <w:r>
              <w:rPr>
                <w:b/>
              </w:rPr>
              <w:t>Llama</w:t>
            </w:r>
          </w:p>
        </w:tc>
        <w:tc>
          <w:tcPr>
            <w:tcW w:w="1728" w:type="dxa"/>
            <w:shd w:val="clear" w:color="auto" w:fill="E8F4E8"/>
          </w:tcPr>
          <w:p w14:paraId="35C1D56A" w14:textId="7801329F" w:rsidR="00871DD7" w:rsidRDefault="00202526">
            <w:pPr>
              <w:cnfStyle w:val="000000100000" w:firstRow="0" w:lastRow="0" w:firstColumn="0" w:lastColumn="0" w:oddVBand="0" w:evenVBand="0" w:oddHBand="1" w:evenHBand="0" w:firstRowFirstColumn="0" w:firstRowLastColumn="0" w:lastRowFirstColumn="0" w:lastRowLastColumn="0"/>
            </w:pPr>
            <w:r>
              <w:rPr>
                <w:b/>
              </w:rPr>
              <w:t>45</w:t>
            </w:r>
            <w:r w:rsidR="00000000">
              <w:rPr>
                <w:b/>
              </w:rPr>
              <w:t xml:space="preserve"> min (GPU)</w:t>
            </w:r>
          </w:p>
        </w:tc>
        <w:tc>
          <w:tcPr>
            <w:tcW w:w="1728" w:type="dxa"/>
            <w:shd w:val="clear" w:color="auto" w:fill="E8F4E8"/>
          </w:tcPr>
          <w:p w14:paraId="682501FF" w14:textId="77777777" w:rsidR="00871DD7" w:rsidRDefault="00000000">
            <w:pPr>
              <w:cnfStyle w:val="000000100000" w:firstRow="0" w:lastRow="0" w:firstColumn="0" w:lastColumn="0" w:oddVBand="0" w:evenVBand="0" w:oddHBand="1" w:evenHBand="0" w:firstRowFirstColumn="0" w:firstRowLastColumn="0" w:lastRowFirstColumn="0" w:lastRowLastColumn="0"/>
            </w:pPr>
            <w:r>
              <w:rPr>
                <w:b/>
              </w:rPr>
              <w:t>Success</w:t>
            </w:r>
          </w:p>
        </w:tc>
      </w:tr>
    </w:tbl>
    <w:p w14:paraId="69A552A9" w14:textId="77777777" w:rsidR="00871DD7" w:rsidRDefault="00000000">
      <w:pPr>
        <w:spacing w:before="120"/>
        <w:jc w:val="center"/>
      </w:pPr>
      <w:r>
        <w:rPr>
          <w:i/>
          <w:sz w:val="22"/>
        </w:rPr>
        <w:t>Table 1: Model Comparison and Selection Rationale</w:t>
      </w:r>
    </w:p>
    <w:p w14:paraId="0660FC55" w14:textId="77777777" w:rsidR="00871DD7" w:rsidRDefault="00000000">
      <w:pPr>
        <w:jc w:val="both"/>
      </w:pPr>
      <w:r>
        <w:t>TinyLlama emerged as the optimal choice based on its balance of capacity and efficiency. The Llama architecture demonstrates superior coherence compared to GPT-2, while the 1.1B parameter count provides 4x more capacity than Flan-T5-Base without excessive computational requirements. The model's training on 3 trillion tokens provides strong general knowledge, and its instruction-following capabilities align well with the question-answering task structure.</w:t>
      </w:r>
    </w:p>
    <w:p w14:paraId="51BD01AC" w14:textId="77777777" w:rsidR="00871DD7" w:rsidRDefault="00000000">
      <w:r>
        <w:br w:type="page"/>
      </w:r>
    </w:p>
    <w:p w14:paraId="5AF6178C" w14:textId="77777777" w:rsidR="00871DD7" w:rsidRDefault="00000000">
      <w:pPr>
        <w:pStyle w:val="Heading2"/>
      </w:pPr>
      <w:r>
        <w:lastRenderedPageBreak/>
        <w:t>3.3 LoRA: Low-Rank Adaptation</w:t>
      </w:r>
    </w:p>
    <w:p w14:paraId="2DF23D90" w14:textId="77777777" w:rsidR="00871DD7" w:rsidRDefault="00000000">
      <w:pPr>
        <w:jc w:val="both"/>
      </w:pPr>
      <w:r>
        <w:t>Full fine-tuning of large language models requires updating all parameters, demanding substantial computational resources and memory. Low-Rank Adaptation (LoRA) addresses this limitation by freezing the pre-trained model weights and injecting trainable rank decomposition matrices into each layer. For a pre-trained weight matrix W, LoRA represents the weight update as a low-rank decomposition: W' = W + BA, where B and A are small matrices with rank r &lt;&lt; min(d1, d2) for the original weight matrix dimensions.</w:t>
      </w:r>
    </w:p>
    <w:p w14:paraId="41307FC6" w14:textId="77777777" w:rsidR="00871DD7" w:rsidRDefault="00000000">
      <w:pPr>
        <w:jc w:val="both"/>
      </w:pPr>
      <w:r>
        <w:t>This approach reduces trainable parameters dramatically. For TinyLlama-1.1B with LoRA rank r=16 and alpha=32, only 1.77 million parameters require training (0.7% of total parameters) compared to 1.1 billion for full fine-tuning. The reduction enables training on consumer-grade GPUs while maintaining adaptation quality. LoRA's efficiency stems from the observation that task-specific adaptations typically occupy low-dimensional subspaces of the full parameter space.</w:t>
      </w:r>
    </w:p>
    <w:p w14:paraId="7CA2AD30" w14:textId="77777777" w:rsidR="00871DD7" w:rsidRDefault="00000000">
      <w:pPr>
        <w:jc w:val="both"/>
      </w:pPr>
      <w:r>
        <w:t>Configuration choices balance adaptation capacity and computational efficiency. Rank r=16 provides sufficient expressivity for domain adaptation while maintaining training speed. Alpha=32 scales the LoRA updates appropriately relative to pre-trained weights. Target modules focus on attention mechanism components (q_proj, v_proj, k_proj, o_proj) where task-specific adaptations prove most effective. Dropout rate of 0.05 provides regularization without over-constraining the adaptation process.</w:t>
      </w:r>
    </w:p>
    <w:p w14:paraId="07DAF79D" w14:textId="77777777" w:rsidR="00871DD7" w:rsidRDefault="00000000">
      <w:pPr>
        <w:pStyle w:val="Heading2"/>
      </w:pPr>
      <w:r>
        <w:t>3.4 Retrieval-Augmented Generation</w:t>
      </w:r>
    </w:p>
    <w:p w14:paraId="7659E82C" w14:textId="77777777" w:rsidR="00871DD7" w:rsidRDefault="00000000">
      <w:pPr>
        <w:jc w:val="both"/>
      </w:pPr>
      <w:r>
        <w:t>While fine-tuning adapts the model to domain patterns, RAG extends capabilities by grounding responses in retrieved documentation. The RAG system maintains a vector database of technical documentation chunks, each embedded using sentence-transformers (all-MiniLM-L6-v2). User queries undergo the same embedding process, enabling semantic similarity search via FAISS (Facebook AI Similarity Search) to identify relevant context.</w:t>
      </w:r>
    </w:p>
    <w:p w14:paraId="722CCB47" w14:textId="77777777" w:rsidR="00871DD7" w:rsidRDefault="00000000">
      <w:pPr>
        <w:jc w:val="both"/>
      </w:pPr>
      <w:r>
        <w:t>This hybrid approach addresses complementary limitations. Fine-tuning captures general domain patterns, response structures, and common resolution strategies, while RAG provides specific technical details, exact configuration parameters, and references to particular system components. The combination enables responses that demonstrate both conceptual understanding and factual precision.</w:t>
      </w:r>
    </w:p>
    <w:p w14:paraId="3B7F6731" w14:textId="77777777" w:rsidR="00871DD7" w:rsidRDefault="00000000">
      <w:pPr>
        <w:jc w:val="both"/>
      </w:pPr>
      <w:r>
        <w:t>The knowledge base construction process chunks documentation into semantically coherent segments, typically 200-300 tokens each, ensuring retrieved context remains focused and relevant. FAISS indexing enables efficient similarity search at inference time with minimal computational overhead. The top-k retrieval strategy (k=3) balances context richness with input length constraints, providing sufficient information without overwhelming the model's context window.</w:t>
      </w:r>
    </w:p>
    <w:p w14:paraId="21A69B25" w14:textId="77777777" w:rsidR="00871DD7" w:rsidRDefault="00000000">
      <w:r>
        <w:lastRenderedPageBreak/>
        <w:br w:type="page"/>
      </w:r>
    </w:p>
    <w:p w14:paraId="0F9A93D7" w14:textId="77777777" w:rsidR="00871DD7" w:rsidRDefault="00000000">
      <w:pPr>
        <w:pStyle w:val="Heading1"/>
      </w:pPr>
      <w:r>
        <w:lastRenderedPageBreak/>
        <w:t>4. Technical Implementation</w:t>
      </w:r>
    </w:p>
    <w:p w14:paraId="382657D4" w14:textId="77777777" w:rsidR="00871DD7" w:rsidRDefault="00000000">
      <w:pPr>
        <w:pStyle w:val="Heading2"/>
      </w:pPr>
      <w:r>
        <w:t>4.1 Data Preparation</w:t>
      </w:r>
    </w:p>
    <w:p w14:paraId="320426C0" w14:textId="77777777" w:rsidR="00871DD7" w:rsidRDefault="00000000">
      <w:pPr>
        <w:jc w:val="both"/>
      </w:pPr>
      <w:r>
        <w:t>The training dataset comprises 1,500 question-answer pairs covering CTRM-SAP integration scenarios. Initial data collection included 30 seed examples representing common integration issues: interface mapping errors, authorization failures, database connectivity problems, AWS infrastructure issues, and data transformation challenges. These seed examples underwent expansion through GPT-4-based augmentation, generating variations while maintaining technical accuracy and relevance.</w:t>
      </w:r>
    </w:p>
    <w:p w14:paraId="644F5935" w14:textId="77777777" w:rsidR="00871DD7" w:rsidRDefault="00000000">
      <w:pPr>
        <w:jc w:val="both"/>
      </w:pPr>
      <w:r>
        <w:t>Data splitting follows standard practice with 80% training (1,200 samples), 10% validation (150 samples), and 10% test (150 samples). Validation data guides training termination and hyperparameter selection. Test data remains completely held-out for final evaluation, ensuring unbiased performance assessment. Each sample follows a consistent structure with a concise question describing the issue and a detailed response providing diagnostic steps and resolution procedures.</w:t>
      </w:r>
    </w:p>
    <w:p w14:paraId="531E2EB4" w14:textId="77777777" w:rsidR="00871DD7" w:rsidRDefault="00000000">
      <w:pPr>
        <w:jc w:val="both"/>
      </w:pPr>
      <w:r>
        <w:t>Preprocessing adapts samples to TinyLlama's chat template format, using specific tokens to delineate user queries and assistant responses. This format alignment ensures the model correctly interprets input structure during both training and inference. Maximum sequence length constraints (512 tokens) balance context retention with computational efficiency, truncating longer sequences while preserving essential information through strategic token placement.</w:t>
      </w:r>
    </w:p>
    <w:p w14:paraId="47F2912C" w14:textId="77777777" w:rsidR="00871DD7" w:rsidRDefault="00000000">
      <w:r>
        <w:br w:type="page"/>
      </w:r>
    </w:p>
    <w:p w14:paraId="3FB82066" w14:textId="77777777" w:rsidR="00871DD7" w:rsidRDefault="00000000">
      <w:pPr>
        <w:pStyle w:val="Heading2"/>
      </w:pPr>
      <w:r>
        <w:lastRenderedPageBreak/>
        <w:t>4.2 Training Configuration</w:t>
      </w:r>
    </w:p>
    <w:tbl>
      <w:tblPr>
        <w:tblStyle w:val="LightGrid-Accent1"/>
        <w:tblW w:w="0" w:type="auto"/>
        <w:tblLook w:val="04A0" w:firstRow="1" w:lastRow="0" w:firstColumn="1" w:lastColumn="0" w:noHBand="0" w:noVBand="1"/>
      </w:tblPr>
      <w:tblGrid>
        <w:gridCol w:w="4311"/>
        <w:gridCol w:w="4309"/>
      </w:tblGrid>
      <w:tr w:rsidR="00871DD7" w14:paraId="7E0641FA" w14:textId="77777777" w:rsidTr="00871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9D9D9"/>
          </w:tcPr>
          <w:p w14:paraId="15BFB39C" w14:textId="77777777" w:rsidR="00871DD7" w:rsidRDefault="00000000">
            <w:r>
              <w:t>Parameter</w:t>
            </w:r>
          </w:p>
        </w:tc>
        <w:tc>
          <w:tcPr>
            <w:tcW w:w="4320" w:type="dxa"/>
            <w:shd w:val="clear" w:color="auto" w:fill="D9D9D9"/>
          </w:tcPr>
          <w:p w14:paraId="765A373E" w14:textId="77777777" w:rsidR="00871DD7" w:rsidRDefault="00000000">
            <w:pPr>
              <w:cnfStyle w:val="100000000000" w:firstRow="1" w:lastRow="0" w:firstColumn="0" w:lastColumn="0" w:oddVBand="0" w:evenVBand="0" w:oddHBand="0" w:evenHBand="0" w:firstRowFirstColumn="0" w:firstRowLastColumn="0" w:lastRowFirstColumn="0" w:lastRowLastColumn="0"/>
            </w:pPr>
            <w:r>
              <w:t>Value</w:t>
            </w:r>
          </w:p>
        </w:tc>
      </w:tr>
      <w:tr w:rsidR="00871DD7" w14:paraId="2C7587DC"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1E08C8" w14:textId="77777777" w:rsidR="00871DD7" w:rsidRDefault="00000000">
            <w:r>
              <w:t>Base Model</w:t>
            </w:r>
          </w:p>
        </w:tc>
        <w:tc>
          <w:tcPr>
            <w:tcW w:w="4320" w:type="dxa"/>
          </w:tcPr>
          <w:p w14:paraId="0843CF54" w14:textId="77777777" w:rsidR="00871DD7" w:rsidRDefault="00000000">
            <w:pPr>
              <w:cnfStyle w:val="000000100000" w:firstRow="0" w:lastRow="0" w:firstColumn="0" w:lastColumn="0" w:oddVBand="0" w:evenVBand="0" w:oddHBand="1" w:evenHBand="0" w:firstRowFirstColumn="0" w:firstRowLastColumn="0" w:lastRowFirstColumn="0" w:lastRowLastColumn="0"/>
            </w:pPr>
            <w:r>
              <w:t>TinyLlama-1.1B-Chat-v1.0</w:t>
            </w:r>
          </w:p>
        </w:tc>
      </w:tr>
      <w:tr w:rsidR="00871DD7" w14:paraId="49B289F6" w14:textId="77777777" w:rsidTr="00871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E9BB32" w14:textId="77777777" w:rsidR="00871DD7" w:rsidRDefault="00000000">
            <w:r>
              <w:t>LoRA Rank (r)</w:t>
            </w:r>
          </w:p>
        </w:tc>
        <w:tc>
          <w:tcPr>
            <w:tcW w:w="4320" w:type="dxa"/>
          </w:tcPr>
          <w:p w14:paraId="28BF3074" w14:textId="77777777" w:rsidR="00871DD7" w:rsidRDefault="00000000">
            <w:pPr>
              <w:cnfStyle w:val="000000010000" w:firstRow="0" w:lastRow="0" w:firstColumn="0" w:lastColumn="0" w:oddVBand="0" w:evenVBand="0" w:oddHBand="0" w:evenHBand="1" w:firstRowFirstColumn="0" w:firstRowLastColumn="0" w:lastRowFirstColumn="0" w:lastRowLastColumn="0"/>
            </w:pPr>
            <w:r>
              <w:t>16</w:t>
            </w:r>
          </w:p>
        </w:tc>
      </w:tr>
      <w:tr w:rsidR="00871DD7" w14:paraId="07917373"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638891" w14:textId="77777777" w:rsidR="00871DD7" w:rsidRDefault="00000000">
            <w:r>
              <w:t>LoRA Alpha</w:t>
            </w:r>
          </w:p>
        </w:tc>
        <w:tc>
          <w:tcPr>
            <w:tcW w:w="4320" w:type="dxa"/>
          </w:tcPr>
          <w:p w14:paraId="427B1996" w14:textId="77777777" w:rsidR="00871DD7" w:rsidRDefault="00000000">
            <w:pPr>
              <w:cnfStyle w:val="000000100000" w:firstRow="0" w:lastRow="0" w:firstColumn="0" w:lastColumn="0" w:oddVBand="0" w:evenVBand="0" w:oddHBand="1" w:evenHBand="0" w:firstRowFirstColumn="0" w:firstRowLastColumn="0" w:lastRowFirstColumn="0" w:lastRowLastColumn="0"/>
            </w:pPr>
            <w:r>
              <w:t>32</w:t>
            </w:r>
          </w:p>
        </w:tc>
      </w:tr>
      <w:tr w:rsidR="00871DD7" w14:paraId="209BFDA3" w14:textId="77777777" w:rsidTr="00871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06C217" w14:textId="77777777" w:rsidR="00871DD7" w:rsidRDefault="00000000">
            <w:r>
              <w:t>LoRA Dropout</w:t>
            </w:r>
          </w:p>
        </w:tc>
        <w:tc>
          <w:tcPr>
            <w:tcW w:w="4320" w:type="dxa"/>
          </w:tcPr>
          <w:p w14:paraId="0850D8DB" w14:textId="77777777" w:rsidR="00871DD7" w:rsidRDefault="00000000">
            <w:pPr>
              <w:cnfStyle w:val="000000010000" w:firstRow="0" w:lastRow="0" w:firstColumn="0" w:lastColumn="0" w:oddVBand="0" w:evenVBand="0" w:oddHBand="0" w:evenHBand="1" w:firstRowFirstColumn="0" w:firstRowLastColumn="0" w:lastRowFirstColumn="0" w:lastRowLastColumn="0"/>
            </w:pPr>
            <w:r>
              <w:t>0.05</w:t>
            </w:r>
          </w:p>
        </w:tc>
      </w:tr>
      <w:tr w:rsidR="00871DD7" w14:paraId="6BB5B665"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5E12E9" w14:textId="77777777" w:rsidR="00871DD7" w:rsidRDefault="00000000">
            <w:r>
              <w:t>Target Modules</w:t>
            </w:r>
          </w:p>
        </w:tc>
        <w:tc>
          <w:tcPr>
            <w:tcW w:w="4320" w:type="dxa"/>
          </w:tcPr>
          <w:p w14:paraId="03082D12" w14:textId="77777777" w:rsidR="00871DD7" w:rsidRDefault="00000000">
            <w:pPr>
              <w:cnfStyle w:val="000000100000" w:firstRow="0" w:lastRow="0" w:firstColumn="0" w:lastColumn="0" w:oddVBand="0" w:evenVBand="0" w:oddHBand="1" w:evenHBand="0" w:firstRowFirstColumn="0" w:firstRowLastColumn="0" w:lastRowFirstColumn="0" w:lastRowLastColumn="0"/>
            </w:pPr>
            <w:r>
              <w:t>q_proj, v_proj, k_proj, o_proj</w:t>
            </w:r>
          </w:p>
        </w:tc>
      </w:tr>
      <w:tr w:rsidR="00871DD7" w14:paraId="166B87A9" w14:textId="77777777" w:rsidTr="00871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233D00" w14:textId="77777777" w:rsidR="00871DD7" w:rsidRDefault="00000000">
            <w:r>
              <w:t>Training Epochs</w:t>
            </w:r>
          </w:p>
        </w:tc>
        <w:tc>
          <w:tcPr>
            <w:tcW w:w="4320" w:type="dxa"/>
          </w:tcPr>
          <w:p w14:paraId="23E80098" w14:textId="77777777" w:rsidR="00871DD7" w:rsidRDefault="00000000">
            <w:pPr>
              <w:cnfStyle w:val="000000010000" w:firstRow="0" w:lastRow="0" w:firstColumn="0" w:lastColumn="0" w:oddVBand="0" w:evenVBand="0" w:oddHBand="0" w:evenHBand="1" w:firstRowFirstColumn="0" w:firstRowLastColumn="0" w:lastRowFirstColumn="0" w:lastRowLastColumn="0"/>
            </w:pPr>
            <w:r>
              <w:t>3</w:t>
            </w:r>
          </w:p>
        </w:tc>
      </w:tr>
      <w:tr w:rsidR="00871DD7" w14:paraId="7169E427"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019F7" w14:textId="77777777" w:rsidR="00871DD7" w:rsidRDefault="00000000">
            <w:r>
              <w:t>Batch Size (per device)</w:t>
            </w:r>
          </w:p>
        </w:tc>
        <w:tc>
          <w:tcPr>
            <w:tcW w:w="4320" w:type="dxa"/>
          </w:tcPr>
          <w:p w14:paraId="5430DBB7" w14:textId="77777777" w:rsidR="00871DD7" w:rsidRDefault="00000000">
            <w:pPr>
              <w:cnfStyle w:val="000000100000" w:firstRow="0" w:lastRow="0" w:firstColumn="0" w:lastColumn="0" w:oddVBand="0" w:evenVBand="0" w:oddHBand="1" w:evenHBand="0" w:firstRowFirstColumn="0" w:firstRowLastColumn="0" w:lastRowFirstColumn="0" w:lastRowLastColumn="0"/>
            </w:pPr>
            <w:r>
              <w:t>4</w:t>
            </w:r>
          </w:p>
        </w:tc>
      </w:tr>
      <w:tr w:rsidR="00871DD7" w14:paraId="73827E59" w14:textId="77777777" w:rsidTr="00871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62A2DC" w14:textId="77777777" w:rsidR="00871DD7" w:rsidRDefault="00000000">
            <w:r>
              <w:t>Gradient Accumulation Steps</w:t>
            </w:r>
          </w:p>
        </w:tc>
        <w:tc>
          <w:tcPr>
            <w:tcW w:w="4320" w:type="dxa"/>
          </w:tcPr>
          <w:p w14:paraId="110E7A9C" w14:textId="77777777" w:rsidR="00871DD7" w:rsidRDefault="00000000">
            <w:pPr>
              <w:cnfStyle w:val="000000010000" w:firstRow="0" w:lastRow="0" w:firstColumn="0" w:lastColumn="0" w:oddVBand="0" w:evenVBand="0" w:oddHBand="0" w:evenHBand="1" w:firstRowFirstColumn="0" w:firstRowLastColumn="0" w:lastRowFirstColumn="0" w:lastRowLastColumn="0"/>
            </w:pPr>
            <w:r>
              <w:t>4</w:t>
            </w:r>
          </w:p>
        </w:tc>
      </w:tr>
      <w:tr w:rsidR="00871DD7" w14:paraId="1A24FBC9"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3607B4" w14:textId="77777777" w:rsidR="00871DD7" w:rsidRDefault="00000000">
            <w:r>
              <w:t>Effective Batch Size</w:t>
            </w:r>
          </w:p>
        </w:tc>
        <w:tc>
          <w:tcPr>
            <w:tcW w:w="4320" w:type="dxa"/>
          </w:tcPr>
          <w:p w14:paraId="63D26978" w14:textId="77777777" w:rsidR="00871DD7" w:rsidRDefault="00000000">
            <w:pPr>
              <w:cnfStyle w:val="000000100000" w:firstRow="0" w:lastRow="0" w:firstColumn="0" w:lastColumn="0" w:oddVBand="0" w:evenVBand="0" w:oddHBand="1" w:evenHBand="0" w:firstRowFirstColumn="0" w:firstRowLastColumn="0" w:lastRowFirstColumn="0" w:lastRowLastColumn="0"/>
            </w:pPr>
            <w:r>
              <w:t>16</w:t>
            </w:r>
          </w:p>
        </w:tc>
      </w:tr>
      <w:tr w:rsidR="00871DD7" w14:paraId="15677B6C" w14:textId="77777777" w:rsidTr="00871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DC03AC" w14:textId="77777777" w:rsidR="00871DD7" w:rsidRDefault="00000000">
            <w:r>
              <w:t>Learning Rate</w:t>
            </w:r>
          </w:p>
        </w:tc>
        <w:tc>
          <w:tcPr>
            <w:tcW w:w="4320" w:type="dxa"/>
          </w:tcPr>
          <w:p w14:paraId="6E85930E" w14:textId="77777777" w:rsidR="00871DD7" w:rsidRDefault="00000000">
            <w:pPr>
              <w:cnfStyle w:val="000000010000" w:firstRow="0" w:lastRow="0" w:firstColumn="0" w:lastColumn="0" w:oddVBand="0" w:evenVBand="0" w:oddHBand="0" w:evenHBand="1" w:firstRowFirstColumn="0" w:firstRowLastColumn="0" w:lastRowFirstColumn="0" w:lastRowLastColumn="0"/>
            </w:pPr>
            <w:r>
              <w:t>2e-4</w:t>
            </w:r>
          </w:p>
        </w:tc>
      </w:tr>
      <w:tr w:rsidR="00871DD7" w14:paraId="589703A5"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F6911C" w14:textId="77777777" w:rsidR="00871DD7" w:rsidRDefault="00000000">
            <w:r>
              <w:t>Weight Decay</w:t>
            </w:r>
          </w:p>
        </w:tc>
        <w:tc>
          <w:tcPr>
            <w:tcW w:w="4320" w:type="dxa"/>
          </w:tcPr>
          <w:p w14:paraId="3729C5D3" w14:textId="77777777" w:rsidR="00871DD7" w:rsidRDefault="00000000">
            <w:pPr>
              <w:cnfStyle w:val="000000100000" w:firstRow="0" w:lastRow="0" w:firstColumn="0" w:lastColumn="0" w:oddVBand="0" w:evenVBand="0" w:oddHBand="1" w:evenHBand="0" w:firstRowFirstColumn="0" w:firstRowLastColumn="0" w:lastRowFirstColumn="0" w:lastRowLastColumn="0"/>
            </w:pPr>
            <w:r>
              <w:t>0.01</w:t>
            </w:r>
          </w:p>
        </w:tc>
      </w:tr>
      <w:tr w:rsidR="00871DD7" w14:paraId="4A246B3F" w14:textId="77777777" w:rsidTr="00871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73C289" w14:textId="77777777" w:rsidR="00871DD7" w:rsidRDefault="00000000">
            <w:r>
              <w:t>Warmup Ratio</w:t>
            </w:r>
          </w:p>
        </w:tc>
        <w:tc>
          <w:tcPr>
            <w:tcW w:w="4320" w:type="dxa"/>
          </w:tcPr>
          <w:p w14:paraId="57FAC355" w14:textId="77777777" w:rsidR="00871DD7" w:rsidRDefault="00000000">
            <w:pPr>
              <w:cnfStyle w:val="000000010000" w:firstRow="0" w:lastRow="0" w:firstColumn="0" w:lastColumn="0" w:oddVBand="0" w:evenVBand="0" w:oddHBand="0" w:evenHBand="1" w:firstRowFirstColumn="0" w:firstRowLastColumn="0" w:lastRowFirstColumn="0" w:lastRowLastColumn="0"/>
            </w:pPr>
            <w:r>
              <w:t>0.1</w:t>
            </w:r>
          </w:p>
        </w:tc>
      </w:tr>
      <w:tr w:rsidR="00871DD7" w14:paraId="606CC980"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3321C8" w14:textId="77777777" w:rsidR="00871DD7" w:rsidRDefault="00000000">
            <w:r>
              <w:t>Precision</w:t>
            </w:r>
          </w:p>
        </w:tc>
        <w:tc>
          <w:tcPr>
            <w:tcW w:w="4320" w:type="dxa"/>
          </w:tcPr>
          <w:p w14:paraId="2EA3E3F4" w14:textId="77777777" w:rsidR="00871DD7" w:rsidRDefault="00000000">
            <w:pPr>
              <w:cnfStyle w:val="000000100000" w:firstRow="0" w:lastRow="0" w:firstColumn="0" w:lastColumn="0" w:oddVBand="0" w:evenVBand="0" w:oddHBand="1" w:evenHBand="0" w:firstRowFirstColumn="0" w:firstRowLastColumn="0" w:lastRowFirstColumn="0" w:lastRowLastColumn="0"/>
            </w:pPr>
            <w:r>
              <w:t>FP16</w:t>
            </w:r>
          </w:p>
        </w:tc>
      </w:tr>
      <w:tr w:rsidR="00871DD7" w14:paraId="45727A1E" w14:textId="77777777" w:rsidTr="00871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7B26BD" w14:textId="77777777" w:rsidR="00871DD7" w:rsidRDefault="00000000">
            <w:r>
              <w:t>Hardware</w:t>
            </w:r>
          </w:p>
        </w:tc>
        <w:tc>
          <w:tcPr>
            <w:tcW w:w="4320" w:type="dxa"/>
          </w:tcPr>
          <w:p w14:paraId="378A0870" w14:textId="77777777" w:rsidR="00871DD7" w:rsidRDefault="00000000">
            <w:pPr>
              <w:cnfStyle w:val="000000010000" w:firstRow="0" w:lastRow="0" w:firstColumn="0" w:lastColumn="0" w:oddVBand="0" w:evenVBand="0" w:oddHBand="0" w:evenHBand="1" w:firstRowFirstColumn="0" w:firstRowLastColumn="0" w:lastRowFirstColumn="0" w:lastRowLastColumn="0"/>
            </w:pPr>
            <w:r>
              <w:t>NVIDIA T4 GPU (16GB)</w:t>
            </w:r>
          </w:p>
        </w:tc>
      </w:tr>
      <w:tr w:rsidR="00871DD7" w14:paraId="5C9FCBD4"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C3AB09" w14:textId="77777777" w:rsidR="00871DD7" w:rsidRDefault="00000000">
            <w:r>
              <w:t>Training Duration</w:t>
            </w:r>
          </w:p>
        </w:tc>
        <w:tc>
          <w:tcPr>
            <w:tcW w:w="4320" w:type="dxa"/>
          </w:tcPr>
          <w:p w14:paraId="148565D1" w14:textId="24752259" w:rsidR="00871DD7" w:rsidRDefault="00E45900">
            <w:pPr>
              <w:cnfStyle w:val="000000100000" w:firstRow="0" w:lastRow="0" w:firstColumn="0" w:lastColumn="0" w:oddVBand="0" w:evenVBand="0" w:oddHBand="1" w:evenHBand="0" w:firstRowFirstColumn="0" w:firstRowLastColumn="0" w:lastRowFirstColumn="0" w:lastRowLastColumn="0"/>
            </w:pPr>
            <w:r>
              <w:t>45</w:t>
            </w:r>
            <w:r w:rsidR="00000000">
              <w:t xml:space="preserve"> minutes 18 seconds</w:t>
            </w:r>
          </w:p>
        </w:tc>
      </w:tr>
      <w:tr w:rsidR="00871DD7" w14:paraId="45F2DDAE" w14:textId="77777777" w:rsidTr="00871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5B7A19" w14:textId="77777777" w:rsidR="00871DD7" w:rsidRDefault="00000000">
            <w:r>
              <w:t>Trainable Parameters</w:t>
            </w:r>
          </w:p>
        </w:tc>
        <w:tc>
          <w:tcPr>
            <w:tcW w:w="4320" w:type="dxa"/>
          </w:tcPr>
          <w:p w14:paraId="45681B79" w14:textId="77777777" w:rsidR="00871DD7" w:rsidRDefault="00000000">
            <w:pPr>
              <w:cnfStyle w:val="000000010000" w:firstRow="0" w:lastRow="0" w:firstColumn="0" w:lastColumn="0" w:oddVBand="0" w:evenVBand="0" w:oddHBand="0" w:evenHBand="1" w:firstRowFirstColumn="0" w:firstRowLastColumn="0" w:lastRowFirstColumn="0" w:lastRowLastColumn="0"/>
            </w:pPr>
            <w:r>
              <w:t>1.77M (0.7% of total)</w:t>
            </w:r>
          </w:p>
        </w:tc>
      </w:tr>
    </w:tbl>
    <w:p w14:paraId="112F2532" w14:textId="77777777" w:rsidR="00871DD7" w:rsidRDefault="00000000">
      <w:pPr>
        <w:spacing w:before="120"/>
        <w:jc w:val="center"/>
      </w:pPr>
      <w:r>
        <w:rPr>
          <w:i/>
          <w:sz w:val="22"/>
        </w:rPr>
        <w:t>Table 2: Training Hyperparameters and Configuration</w:t>
      </w:r>
    </w:p>
    <w:p w14:paraId="58B29F7E" w14:textId="77777777" w:rsidR="00871DD7" w:rsidRDefault="00000000">
      <w:pPr>
        <w:jc w:val="both"/>
      </w:pPr>
      <w:r>
        <w:t>Hyperparameter selection balances training efficiency and model quality. The learning rate of 2e-4 proves appropriate for LoRA adaptation, higher than typical full fine-tuning rates but suitable for the reduced parameter space. Warmup ratio of 0.1 provides gradual learning rate increase, stabilizing early training dynamics. Weight decay of 0.01 provides regularization without over-constraining adaptation. The effective batch size of 16 (4 per device with 4 gradient accumulation steps) optimizes GPU memory utilization while maintaining training stability.</w:t>
      </w:r>
    </w:p>
    <w:p w14:paraId="579D84AE" w14:textId="77777777" w:rsidR="00871DD7" w:rsidRDefault="00000000">
      <w:r>
        <w:br w:type="page"/>
      </w:r>
    </w:p>
    <w:p w14:paraId="50F7F43B" w14:textId="77777777" w:rsidR="00871DD7" w:rsidRDefault="00000000">
      <w:pPr>
        <w:pStyle w:val="Heading2"/>
      </w:pPr>
      <w:r>
        <w:lastRenderedPageBreak/>
        <w:t>4.3 RAG System Implementation</w:t>
      </w:r>
    </w:p>
    <w:p w14:paraId="53616049" w14:textId="77777777" w:rsidR="00871DD7" w:rsidRDefault="00000000">
      <w:pPr>
        <w:jc w:val="both"/>
      </w:pPr>
      <w:r>
        <w:t>The RAG system processes technical documentation through several stages. Document chunking segments source materials into semantically coherent units averaging 250 tokens. The sentence-transformers model (all-MiniLM-L6-v2) generates 384-dimensional embeddings for each chunk, capturing semantic meaning in vector space. FAISS indexes these embeddings for efficient similarity search, enabling sub-millisecond retrieval even across thousands of documentation chunks.</w:t>
      </w:r>
    </w:p>
    <w:p w14:paraId="59B7BD17" w14:textId="77777777" w:rsidR="00871DD7" w:rsidRDefault="00000000">
      <w:pPr>
        <w:jc w:val="both"/>
      </w:pPr>
      <w:r>
        <w:t>Query processing mirrors the indexing pipeline. User queries undergo embedding with the same sentence-transformers model, ensuring vector space alignment. FAISS similarity search identifies the top-3 most semantically similar documentation chunks based on cosine similarity. Retrieved chunks concatenate with the original query, forming an enriched prompt that combines general question structure with specific technical details.</w:t>
      </w:r>
    </w:p>
    <w:p w14:paraId="78DDFCC2" w14:textId="77777777" w:rsidR="00871DD7" w:rsidRDefault="00000000">
      <w:pPr>
        <w:jc w:val="both"/>
      </w:pPr>
      <w:r>
        <w:t>The knowledge base comprises 30 core documentation files covering interface configurations, common error patterns, resolution procedures, and system architecture details. These files undergo preprocessing to extract technical content, removing formatting artifacts and standardizing structure. The resulting vector database contains approximately 500 indexed chunks, providing comprehensive coverage of integration scenarios while maintaining retrieval efficiency.</w:t>
      </w:r>
    </w:p>
    <w:p w14:paraId="7736A3C5" w14:textId="77777777" w:rsidR="00871DD7" w:rsidRDefault="00000000">
      <w:r>
        <w:br w:type="page"/>
      </w:r>
    </w:p>
    <w:p w14:paraId="0635C22B" w14:textId="77777777" w:rsidR="00871DD7" w:rsidRDefault="00000000">
      <w:pPr>
        <w:pStyle w:val="Heading1"/>
      </w:pPr>
      <w:r>
        <w:lastRenderedPageBreak/>
        <w:t>5. Results and Analysis</w:t>
      </w:r>
    </w:p>
    <w:p w14:paraId="57669A00" w14:textId="77777777" w:rsidR="00871DD7" w:rsidRDefault="00000000">
      <w:pPr>
        <w:pStyle w:val="Heading2"/>
      </w:pPr>
      <w:r>
        <w:t>5.1 Training Performance</w:t>
      </w:r>
    </w:p>
    <w:p w14:paraId="162EDC8D" w14:textId="77777777" w:rsidR="00871DD7" w:rsidRDefault="00000000">
      <w:pPr>
        <w:jc w:val="both"/>
      </w:pPr>
      <w:r>
        <w:t>Training exhibited exceptional convergence characteristics. The loss decreased from an initial value of 2.30 to a final training loss of 0.032, representing 98.6% improvement. Validation loss tracked training loss closely throughout all epochs, reaching a final value of 0.033. The minimal divergence between training and validation losses (0.001) indicates strong generalization without overfitting.</w:t>
      </w:r>
    </w:p>
    <w:p w14:paraId="1ECFCBF1" w14:textId="77777777" w:rsidR="00871DD7" w:rsidRDefault="00000000">
      <w:pPr>
        <w:jc w:val="both"/>
      </w:pPr>
      <w:r>
        <w:t>The training curve reveals three distinct phases. The first epoch (steps 0-75) showed rapid learning with loss decreasing from 2.30 to 0.29, an 87% reduction. The second epoch (steps 75-150) demonstrated continued refinement with loss dropping to 0.04. The third epoch (steps 150-225) achieved convergence with loss stabilizing around 0.03. This progression indicates efficient learning dynamics with diminishing returns suggesting appropriate training duration.</w:t>
      </w:r>
    </w:p>
    <w:tbl>
      <w:tblPr>
        <w:tblStyle w:val="LightGrid-Accent1"/>
        <w:tblW w:w="0" w:type="auto"/>
        <w:tblLook w:val="04A0" w:firstRow="1" w:lastRow="0" w:firstColumn="1" w:lastColumn="0" w:noHBand="0" w:noVBand="1"/>
      </w:tblPr>
      <w:tblGrid>
        <w:gridCol w:w="2154"/>
        <w:gridCol w:w="2154"/>
        <w:gridCol w:w="2156"/>
        <w:gridCol w:w="2156"/>
      </w:tblGrid>
      <w:tr w:rsidR="00871DD7" w14:paraId="4DCA02AF" w14:textId="77777777" w:rsidTr="00871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9D9D9"/>
          </w:tcPr>
          <w:p w14:paraId="24CF914D" w14:textId="77777777" w:rsidR="00871DD7" w:rsidRDefault="00000000">
            <w:r>
              <w:t>Epoch</w:t>
            </w:r>
          </w:p>
        </w:tc>
        <w:tc>
          <w:tcPr>
            <w:tcW w:w="2160" w:type="dxa"/>
            <w:shd w:val="clear" w:color="auto" w:fill="D9D9D9"/>
          </w:tcPr>
          <w:p w14:paraId="4A060C04" w14:textId="77777777" w:rsidR="00871DD7" w:rsidRDefault="00000000">
            <w:pPr>
              <w:cnfStyle w:val="100000000000" w:firstRow="1" w:lastRow="0" w:firstColumn="0" w:lastColumn="0" w:oddVBand="0" w:evenVBand="0" w:oddHBand="0" w:evenHBand="0" w:firstRowFirstColumn="0" w:firstRowLastColumn="0" w:lastRowFirstColumn="0" w:lastRowLastColumn="0"/>
            </w:pPr>
            <w:r>
              <w:t>Step</w:t>
            </w:r>
          </w:p>
        </w:tc>
        <w:tc>
          <w:tcPr>
            <w:tcW w:w="2160" w:type="dxa"/>
            <w:shd w:val="clear" w:color="auto" w:fill="D9D9D9"/>
          </w:tcPr>
          <w:p w14:paraId="6507D582" w14:textId="77777777" w:rsidR="00871DD7" w:rsidRDefault="00000000">
            <w:pPr>
              <w:cnfStyle w:val="100000000000" w:firstRow="1" w:lastRow="0" w:firstColumn="0" w:lastColumn="0" w:oddVBand="0" w:evenVBand="0" w:oddHBand="0" w:evenHBand="0" w:firstRowFirstColumn="0" w:firstRowLastColumn="0" w:lastRowFirstColumn="0" w:lastRowLastColumn="0"/>
            </w:pPr>
            <w:r>
              <w:t>Training Loss</w:t>
            </w:r>
          </w:p>
        </w:tc>
        <w:tc>
          <w:tcPr>
            <w:tcW w:w="2160" w:type="dxa"/>
            <w:shd w:val="clear" w:color="auto" w:fill="D9D9D9"/>
          </w:tcPr>
          <w:p w14:paraId="7896D72E" w14:textId="77777777" w:rsidR="00871DD7" w:rsidRDefault="00000000">
            <w:pPr>
              <w:cnfStyle w:val="100000000000" w:firstRow="1" w:lastRow="0" w:firstColumn="0" w:lastColumn="0" w:oddVBand="0" w:evenVBand="0" w:oddHBand="0" w:evenHBand="0" w:firstRowFirstColumn="0" w:firstRowLastColumn="0" w:lastRowFirstColumn="0" w:lastRowLastColumn="0"/>
            </w:pPr>
            <w:r>
              <w:t>Validation Loss</w:t>
            </w:r>
          </w:p>
        </w:tc>
      </w:tr>
      <w:tr w:rsidR="00871DD7" w14:paraId="0B24440D"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D5E0E5" w14:textId="77777777" w:rsidR="00871DD7" w:rsidRDefault="00000000">
            <w:r>
              <w:t>1</w:t>
            </w:r>
          </w:p>
        </w:tc>
        <w:tc>
          <w:tcPr>
            <w:tcW w:w="2160" w:type="dxa"/>
          </w:tcPr>
          <w:p w14:paraId="7D218B8D" w14:textId="77777777" w:rsidR="00871DD7" w:rsidRDefault="00000000">
            <w:pPr>
              <w:cnfStyle w:val="000000100000" w:firstRow="0" w:lastRow="0" w:firstColumn="0" w:lastColumn="0" w:oddVBand="0" w:evenVBand="0" w:oddHBand="1" w:evenHBand="0" w:firstRowFirstColumn="0" w:firstRowLastColumn="0" w:lastRowFirstColumn="0" w:lastRowLastColumn="0"/>
            </w:pPr>
            <w:r>
              <w:t>75</w:t>
            </w:r>
          </w:p>
        </w:tc>
        <w:tc>
          <w:tcPr>
            <w:tcW w:w="2160" w:type="dxa"/>
          </w:tcPr>
          <w:p w14:paraId="0AF3A2AD" w14:textId="77777777" w:rsidR="00871DD7" w:rsidRDefault="00000000">
            <w:pPr>
              <w:cnfStyle w:val="000000100000" w:firstRow="0" w:lastRow="0" w:firstColumn="0" w:lastColumn="0" w:oddVBand="0" w:evenVBand="0" w:oddHBand="1" w:evenHBand="0" w:firstRowFirstColumn="0" w:firstRowLastColumn="0" w:lastRowFirstColumn="0" w:lastRowLastColumn="0"/>
            </w:pPr>
            <w:r>
              <w:t>0.956</w:t>
            </w:r>
          </w:p>
        </w:tc>
        <w:tc>
          <w:tcPr>
            <w:tcW w:w="2160" w:type="dxa"/>
          </w:tcPr>
          <w:p w14:paraId="3FB48377" w14:textId="77777777" w:rsidR="00871DD7" w:rsidRDefault="00000000">
            <w:pPr>
              <w:cnfStyle w:val="000000100000" w:firstRow="0" w:lastRow="0" w:firstColumn="0" w:lastColumn="0" w:oddVBand="0" w:evenVBand="0" w:oddHBand="1" w:evenHBand="0" w:firstRowFirstColumn="0" w:firstRowLastColumn="0" w:lastRowFirstColumn="0" w:lastRowLastColumn="0"/>
            </w:pPr>
            <w:r>
              <w:t>0.287</w:t>
            </w:r>
          </w:p>
        </w:tc>
      </w:tr>
      <w:tr w:rsidR="00871DD7" w14:paraId="60D8FD31" w14:textId="77777777" w:rsidTr="00871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5355B5" w14:textId="77777777" w:rsidR="00871DD7" w:rsidRDefault="00000000">
            <w:r>
              <w:t>2</w:t>
            </w:r>
          </w:p>
        </w:tc>
        <w:tc>
          <w:tcPr>
            <w:tcW w:w="2160" w:type="dxa"/>
          </w:tcPr>
          <w:p w14:paraId="5D0BAFF5" w14:textId="77777777" w:rsidR="00871DD7" w:rsidRDefault="00000000">
            <w:pPr>
              <w:cnfStyle w:val="000000010000" w:firstRow="0" w:lastRow="0" w:firstColumn="0" w:lastColumn="0" w:oddVBand="0" w:evenVBand="0" w:oddHBand="0" w:evenHBand="1" w:firstRowFirstColumn="0" w:firstRowLastColumn="0" w:lastRowFirstColumn="0" w:lastRowLastColumn="0"/>
            </w:pPr>
            <w:r>
              <w:t>150</w:t>
            </w:r>
          </w:p>
        </w:tc>
        <w:tc>
          <w:tcPr>
            <w:tcW w:w="2160" w:type="dxa"/>
          </w:tcPr>
          <w:p w14:paraId="246A347B" w14:textId="77777777" w:rsidR="00871DD7" w:rsidRDefault="00000000">
            <w:pPr>
              <w:cnfStyle w:val="000000010000" w:firstRow="0" w:lastRow="0" w:firstColumn="0" w:lastColumn="0" w:oddVBand="0" w:evenVBand="0" w:oddHBand="0" w:evenHBand="1" w:firstRowFirstColumn="0" w:firstRowLastColumn="0" w:lastRowFirstColumn="0" w:lastRowLastColumn="0"/>
            </w:pPr>
            <w:r>
              <w:t>0.042</w:t>
            </w:r>
          </w:p>
        </w:tc>
        <w:tc>
          <w:tcPr>
            <w:tcW w:w="2160" w:type="dxa"/>
          </w:tcPr>
          <w:p w14:paraId="196C0A6F" w14:textId="77777777" w:rsidR="00871DD7" w:rsidRDefault="00000000">
            <w:pPr>
              <w:cnfStyle w:val="000000010000" w:firstRow="0" w:lastRow="0" w:firstColumn="0" w:lastColumn="0" w:oddVBand="0" w:evenVBand="0" w:oddHBand="0" w:evenHBand="1" w:firstRowFirstColumn="0" w:firstRowLastColumn="0" w:lastRowFirstColumn="0" w:lastRowLastColumn="0"/>
            </w:pPr>
            <w:r>
              <w:t>0.038</w:t>
            </w:r>
          </w:p>
        </w:tc>
      </w:tr>
      <w:tr w:rsidR="00871DD7" w14:paraId="219604D1"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763BD4" w14:textId="77777777" w:rsidR="00871DD7" w:rsidRDefault="00000000">
            <w:r>
              <w:t>3</w:t>
            </w:r>
          </w:p>
        </w:tc>
        <w:tc>
          <w:tcPr>
            <w:tcW w:w="2160" w:type="dxa"/>
          </w:tcPr>
          <w:p w14:paraId="75E23DF5" w14:textId="77777777" w:rsidR="00871DD7" w:rsidRDefault="00000000">
            <w:pPr>
              <w:cnfStyle w:val="000000100000" w:firstRow="0" w:lastRow="0" w:firstColumn="0" w:lastColumn="0" w:oddVBand="0" w:evenVBand="0" w:oddHBand="1" w:evenHBand="0" w:firstRowFirstColumn="0" w:firstRowLastColumn="0" w:lastRowFirstColumn="0" w:lastRowLastColumn="0"/>
            </w:pPr>
            <w:r>
              <w:rPr>
                <w:b/>
              </w:rPr>
              <w:t>225</w:t>
            </w:r>
          </w:p>
        </w:tc>
        <w:tc>
          <w:tcPr>
            <w:tcW w:w="2160" w:type="dxa"/>
          </w:tcPr>
          <w:p w14:paraId="036FC948" w14:textId="77777777" w:rsidR="00871DD7" w:rsidRDefault="00000000">
            <w:pPr>
              <w:cnfStyle w:val="000000100000" w:firstRow="0" w:lastRow="0" w:firstColumn="0" w:lastColumn="0" w:oddVBand="0" w:evenVBand="0" w:oddHBand="1" w:evenHBand="0" w:firstRowFirstColumn="0" w:firstRowLastColumn="0" w:lastRowFirstColumn="0" w:lastRowLastColumn="0"/>
            </w:pPr>
            <w:r>
              <w:rPr>
                <w:b/>
              </w:rPr>
              <w:t>0.032</w:t>
            </w:r>
          </w:p>
        </w:tc>
        <w:tc>
          <w:tcPr>
            <w:tcW w:w="2160" w:type="dxa"/>
          </w:tcPr>
          <w:p w14:paraId="72898A92" w14:textId="77777777" w:rsidR="00871DD7" w:rsidRDefault="00000000">
            <w:pPr>
              <w:cnfStyle w:val="000000100000" w:firstRow="0" w:lastRow="0" w:firstColumn="0" w:lastColumn="0" w:oddVBand="0" w:evenVBand="0" w:oddHBand="1" w:evenHBand="0" w:firstRowFirstColumn="0" w:firstRowLastColumn="0" w:lastRowFirstColumn="0" w:lastRowLastColumn="0"/>
            </w:pPr>
            <w:r>
              <w:rPr>
                <w:b/>
              </w:rPr>
              <w:t>0.033</w:t>
            </w:r>
          </w:p>
        </w:tc>
      </w:tr>
    </w:tbl>
    <w:p w14:paraId="1343907C" w14:textId="77777777" w:rsidR="00871DD7" w:rsidRDefault="00000000">
      <w:pPr>
        <w:spacing w:before="120"/>
        <w:jc w:val="center"/>
      </w:pPr>
      <w:r>
        <w:rPr>
          <w:i/>
          <w:sz w:val="22"/>
        </w:rPr>
        <w:t>Table 3: Loss Progression by Training Epoch</w:t>
      </w:r>
    </w:p>
    <w:p w14:paraId="220A8E42" w14:textId="77777777" w:rsidR="00871DD7" w:rsidRDefault="00000000">
      <w:pPr>
        <w:spacing w:before="240"/>
        <w:jc w:val="both"/>
      </w:pPr>
      <w:r>
        <w:t>Figure 1 illustrates the training dynamics, showing smooth convergence with minimal oscillation. The close tracking between training and validation curves throughout all phases confirms the model's ability to generalize beyond the training distribution. The training-validation gap remains consistently below 0.05 throughout training, indicating no overfitting occurred.</w:t>
      </w:r>
    </w:p>
    <w:p w14:paraId="0A005013" w14:textId="77777777" w:rsidR="00871DD7" w:rsidRDefault="00000000">
      <w:r>
        <w:br w:type="page"/>
      </w:r>
    </w:p>
    <w:p w14:paraId="490C9110" w14:textId="77777777" w:rsidR="00871DD7" w:rsidRDefault="00000000">
      <w:pPr>
        <w:pStyle w:val="Heading2"/>
      </w:pPr>
      <w:r>
        <w:lastRenderedPageBreak/>
        <w:t>5.2 Evaluation Metrics</w:t>
      </w:r>
    </w:p>
    <w:p w14:paraId="0225FA71" w14:textId="77777777" w:rsidR="00871DD7" w:rsidRDefault="00000000">
      <w:pPr>
        <w:jc w:val="both"/>
      </w:pPr>
      <w:r>
        <w:t>Evaluation employed multiple metrics to assess different aspects of model performance. ROUGE (Recall-Oriented Understudy for Gisting Evaluation) measures n-gram overlap between generated and reference text. BLEU (Bilingual Evaluation Understudy) evaluates precision of n-gram matches with brevity penalty. Cosine similarity assesses semantic alignment between generated and reference embeddings in vector space, independent of exact wording.</w:t>
      </w:r>
    </w:p>
    <w:tbl>
      <w:tblPr>
        <w:tblStyle w:val="LightGrid-Accent1"/>
        <w:tblW w:w="0" w:type="auto"/>
        <w:tblLook w:val="04A0" w:firstRow="1" w:lastRow="0" w:firstColumn="1" w:lastColumn="0" w:noHBand="0" w:noVBand="1"/>
      </w:tblPr>
      <w:tblGrid>
        <w:gridCol w:w="1439"/>
        <w:gridCol w:w="1436"/>
        <w:gridCol w:w="1436"/>
        <w:gridCol w:w="1436"/>
        <w:gridCol w:w="1436"/>
        <w:gridCol w:w="1437"/>
      </w:tblGrid>
      <w:tr w:rsidR="00871DD7" w14:paraId="5A735449" w14:textId="77777777" w:rsidTr="00871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D9D9D9"/>
          </w:tcPr>
          <w:p w14:paraId="06057C8C" w14:textId="77777777" w:rsidR="00871DD7" w:rsidRDefault="00000000">
            <w:r>
              <w:t>Metric</w:t>
            </w:r>
          </w:p>
        </w:tc>
        <w:tc>
          <w:tcPr>
            <w:tcW w:w="1440" w:type="dxa"/>
            <w:shd w:val="clear" w:color="auto" w:fill="D9D9D9"/>
          </w:tcPr>
          <w:p w14:paraId="1B87C2E2" w14:textId="77777777" w:rsidR="00871DD7" w:rsidRDefault="00000000">
            <w:pPr>
              <w:cnfStyle w:val="100000000000" w:firstRow="1" w:lastRow="0" w:firstColumn="0" w:lastColumn="0" w:oddVBand="0" w:evenVBand="0" w:oddHBand="0" w:evenHBand="0" w:firstRowFirstColumn="0" w:firstRowLastColumn="0" w:lastRowFirstColumn="0" w:lastRowLastColumn="0"/>
            </w:pPr>
            <w:r>
              <w:t>Mean</w:t>
            </w:r>
          </w:p>
        </w:tc>
        <w:tc>
          <w:tcPr>
            <w:tcW w:w="1440" w:type="dxa"/>
            <w:shd w:val="clear" w:color="auto" w:fill="D9D9D9"/>
          </w:tcPr>
          <w:p w14:paraId="424C0F2A" w14:textId="77777777" w:rsidR="00871DD7" w:rsidRDefault="00000000">
            <w:pPr>
              <w:cnfStyle w:val="100000000000" w:firstRow="1" w:lastRow="0" w:firstColumn="0" w:lastColumn="0" w:oddVBand="0" w:evenVBand="0" w:oddHBand="0" w:evenHBand="0" w:firstRowFirstColumn="0" w:firstRowLastColumn="0" w:lastRowFirstColumn="0" w:lastRowLastColumn="0"/>
            </w:pPr>
            <w:r>
              <w:t>Std Dev</w:t>
            </w:r>
          </w:p>
        </w:tc>
        <w:tc>
          <w:tcPr>
            <w:tcW w:w="1440" w:type="dxa"/>
            <w:shd w:val="clear" w:color="auto" w:fill="D9D9D9"/>
          </w:tcPr>
          <w:p w14:paraId="7AEE9C41" w14:textId="77777777" w:rsidR="00871DD7" w:rsidRDefault="00000000">
            <w:pPr>
              <w:cnfStyle w:val="100000000000" w:firstRow="1" w:lastRow="0" w:firstColumn="0" w:lastColumn="0" w:oddVBand="0" w:evenVBand="0" w:oddHBand="0" w:evenHBand="0" w:firstRowFirstColumn="0" w:firstRowLastColumn="0" w:lastRowFirstColumn="0" w:lastRowLastColumn="0"/>
            </w:pPr>
            <w:r>
              <w:t>Min</w:t>
            </w:r>
          </w:p>
        </w:tc>
        <w:tc>
          <w:tcPr>
            <w:tcW w:w="1440" w:type="dxa"/>
            <w:shd w:val="clear" w:color="auto" w:fill="D9D9D9"/>
          </w:tcPr>
          <w:p w14:paraId="2EED519D" w14:textId="77777777" w:rsidR="00871DD7" w:rsidRDefault="00000000">
            <w:pPr>
              <w:cnfStyle w:val="100000000000" w:firstRow="1" w:lastRow="0" w:firstColumn="0" w:lastColumn="0" w:oddVBand="0" w:evenVBand="0" w:oddHBand="0" w:evenHBand="0" w:firstRowFirstColumn="0" w:firstRowLastColumn="0" w:lastRowFirstColumn="0" w:lastRowLastColumn="0"/>
            </w:pPr>
            <w:r>
              <w:t>Max</w:t>
            </w:r>
          </w:p>
        </w:tc>
        <w:tc>
          <w:tcPr>
            <w:tcW w:w="1440" w:type="dxa"/>
            <w:shd w:val="clear" w:color="auto" w:fill="D9D9D9"/>
          </w:tcPr>
          <w:p w14:paraId="6160D25E" w14:textId="77777777" w:rsidR="00871DD7" w:rsidRDefault="00000000">
            <w:pPr>
              <w:cnfStyle w:val="100000000000" w:firstRow="1" w:lastRow="0" w:firstColumn="0" w:lastColumn="0" w:oddVBand="0" w:evenVBand="0" w:oddHBand="0" w:evenHBand="0" w:firstRowFirstColumn="0" w:firstRowLastColumn="0" w:lastRowFirstColumn="0" w:lastRowLastColumn="0"/>
            </w:pPr>
            <w:r>
              <w:t>Target</w:t>
            </w:r>
          </w:p>
        </w:tc>
      </w:tr>
      <w:tr w:rsidR="00871DD7" w14:paraId="42471A2B"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756331" w14:textId="77777777" w:rsidR="00871DD7" w:rsidRDefault="00000000">
            <w:r>
              <w:t>ROUGE-1</w:t>
            </w:r>
          </w:p>
        </w:tc>
        <w:tc>
          <w:tcPr>
            <w:tcW w:w="1440" w:type="dxa"/>
          </w:tcPr>
          <w:p w14:paraId="536B0D24" w14:textId="77777777" w:rsidR="00871DD7" w:rsidRDefault="00000000">
            <w:pPr>
              <w:cnfStyle w:val="000000100000" w:firstRow="0" w:lastRow="0" w:firstColumn="0" w:lastColumn="0" w:oddVBand="0" w:evenVBand="0" w:oddHBand="1" w:evenHBand="0" w:firstRowFirstColumn="0" w:firstRowLastColumn="0" w:lastRowFirstColumn="0" w:lastRowLastColumn="0"/>
            </w:pPr>
            <w:r>
              <w:t>0.6041</w:t>
            </w:r>
          </w:p>
        </w:tc>
        <w:tc>
          <w:tcPr>
            <w:tcW w:w="1440" w:type="dxa"/>
          </w:tcPr>
          <w:p w14:paraId="4CE3FCB6" w14:textId="77777777" w:rsidR="00871DD7" w:rsidRDefault="00000000">
            <w:pPr>
              <w:cnfStyle w:val="000000100000" w:firstRow="0" w:lastRow="0" w:firstColumn="0" w:lastColumn="0" w:oddVBand="0" w:evenVBand="0" w:oddHBand="1" w:evenHBand="0" w:firstRowFirstColumn="0" w:firstRowLastColumn="0" w:lastRowFirstColumn="0" w:lastRowLastColumn="0"/>
            </w:pPr>
            <w:r>
              <w:t>0.1657</w:t>
            </w:r>
          </w:p>
        </w:tc>
        <w:tc>
          <w:tcPr>
            <w:tcW w:w="1440" w:type="dxa"/>
          </w:tcPr>
          <w:p w14:paraId="6162BBC4" w14:textId="77777777" w:rsidR="00871DD7" w:rsidRDefault="00000000">
            <w:pPr>
              <w:cnfStyle w:val="000000100000" w:firstRow="0" w:lastRow="0" w:firstColumn="0" w:lastColumn="0" w:oddVBand="0" w:evenVBand="0" w:oddHBand="1" w:evenHBand="0" w:firstRowFirstColumn="0" w:firstRowLastColumn="0" w:lastRowFirstColumn="0" w:lastRowLastColumn="0"/>
            </w:pPr>
            <w:r>
              <w:t>0.1171</w:t>
            </w:r>
          </w:p>
        </w:tc>
        <w:tc>
          <w:tcPr>
            <w:tcW w:w="1440" w:type="dxa"/>
          </w:tcPr>
          <w:p w14:paraId="23CA2C64" w14:textId="77777777" w:rsidR="00871DD7" w:rsidRDefault="00000000">
            <w:pPr>
              <w:cnfStyle w:val="000000100000" w:firstRow="0" w:lastRow="0" w:firstColumn="0" w:lastColumn="0" w:oddVBand="0" w:evenVBand="0" w:oddHBand="1" w:evenHBand="0" w:firstRowFirstColumn="0" w:firstRowLastColumn="0" w:lastRowFirstColumn="0" w:lastRowLastColumn="0"/>
            </w:pPr>
            <w:r>
              <w:t>0.8617</w:t>
            </w:r>
          </w:p>
        </w:tc>
        <w:tc>
          <w:tcPr>
            <w:tcW w:w="1440" w:type="dxa"/>
          </w:tcPr>
          <w:p w14:paraId="1E15B82B" w14:textId="77777777" w:rsidR="00871DD7" w:rsidRDefault="00000000">
            <w:pPr>
              <w:cnfStyle w:val="000000100000" w:firstRow="0" w:lastRow="0" w:firstColumn="0" w:lastColumn="0" w:oddVBand="0" w:evenVBand="0" w:oddHBand="1" w:evenHBand="0" w:firstRowFirstColumn="0" w:firstRowLastColumn="0" w:lastRowFirstColumn="0" w:lastRowLastColumn="0"/>
            </w:pPr>
            <w:r>
              <w:t>-</w:t>
            </w:r>
          </w:p>
        </w:tc>
      </w:tr>
      <w:tr w:rsidR="00871DD7" w14:paraId="031FBDB3" w14:textId="77777777" w:rsidTr="00871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CC3C793" w14:textId="77777777" w:rsidR="00871DD7" w:rsidRDefault="00000000">
            <w:r>
              <w:t>ROUGE-2</w:t>
            </w:r>
          </w:p>
        </w:tc>
        <w:tc>
          <w:tcPr>
            <w:tcW w:w="1440" w:type="dxa"/>
          </w:tcPr>
          <w:p w14:paraId="3DCC3815" w14:textId="77777777" w:rsidR="00871DD7" w:rsidRDefault="00000000">
            <w:pPr>
              <w:cnfStyle w:val="000000010000" w:firstRow="0" w:lastRow="0" w:firstColumn="0" w:lastColumn="0" w:oddVBand="0" w:evenVBand="0" w:oddHBand="0" w:evenHBand="1" w:firstRowFirstColumn="0" w:firstRowLastColumn="0" w:lastRowFirstColumn="0" w:lastRowLastColumn="0"/>
            </w:pPr>
            <w:r>
              <w:t>0.4494</w:t>
            </w:r>
          </w:p>
        </w:tc>
        <w:tc>
          <w:tcPr>
            <w:tcW w:w="1440" w:type="dxa"/>
          </w:tcPr>
          <w:p w14:paraId="5E9043C3" w14:textId="77777777" w:rsidR="00871DD7" w:rsidRDefault="00000000">
            <w:pPr>
              <w:cnfStyle w:val="000000010000" w:firstRow="0" w:lastRow="0" w:firstColumn="0" w:lastColumn="0" w:oddVBand="0" w:evenVBand="0" w:oddHBand="0" w:evenHBand="1" w:firstRowFirstColumn="0" w:firstRowLastColumn="0" w:lastRowFirstColumn="0" w:lastRowLastColumn="0"/>
            </w:pPr>
            <w:r>
              <w:t>0.2523</w:t>
            </w:r>
          </w:p>
        </w:tc>
        <w:tc>
          <w:tcPr>
            <w:tcW w:w="1440" w:type="dxa"/>
          </w:tcPr>
          <w:p w14:paraId="5F846A47" w14:textId="77777777" w:rsidR="00871DD7" w:rsidRDefault="00000000">
            <w:pPr>
              <w:cnfStyle w:val="000000010000" w:firstRow="0" w:lastRow="0" w:firstColumn="0" w:lastColumn="0" w:oddVBand="0" w:evenVBand="0" w:oddHBand="0" w:evenHBand="1" w:firstRowFirstColumn="0" w:firstRowLastColumn="0" w:lastRowFirstColumn="0" w:lastRowLastColumn="0"/>
            </w:pPr>
            <w:r>
              <w:t>0.0000</w:t>
            </w:r>
          </w:p>
        </w:tc>
        <w:tc>
          <w:tcPr>
            <w:tcW w:w="1440" w:type="dxa"/>
          </w:tcPr>
          <w:p w14:paraId="75EE08D8" w14:textId="77777777" w:rsidR="00871DD7" w:rsidRDefault="00000000">
            <w:pPr>
              <w:cnfStyle w:val="000000010000" w:firstRow="0" w:lastRow="0" w:firstColumn="0" w:lastColumn="0" w:oddVBand="0" w:evenVBand="0" w:oddHBand="0" w:evenHBand="1" w:firstRowFirstColumn="0" w:firstRowLastColumn="0" w:lastRowFirstColumn="0" w:lastRowLastColumn="0"/>
            </w:pPr>
            <w:r>
              <w:t>0.8372</w:t>
            </w:r>
          </w:p>
        </w:tc>
        <w:tc>
          <w:tcPr>
            <w:tcW w:w="1440" w:type="dxa"/>
          </w:tcPr>
          <w:p w14:paraId="47D64B9E" w14:textId="77777777" w:rsidR="00871DD7" w:rsidRDefault="00000000">
            <w:pPr>
              <w:cnfStyle w:val="000000010000" w:firstRow="0" w:lastRow="0" w:firstColumn="0" w:lastColumn="0" w:oddVBand="0" w:evenVBand="0" w:oddHBand="0" w:evenHBand="1" w:firstRowFirstColumn="0" w:firstRowLastColumn="0" w:lastRowFirstColumn="0" w:lastRowLastColumn="0"/>
            </w:pPr>
            <w:r>
              <w:t>-</w:t>
            </w:r>
          </w:p>
        </w:tc>
      </w:tr>
      <w:tr w:rsidR="00871DD7" w14:paraId="54D8C491"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BD3293" w14:textId="77777777" w:rsidR="00871DD7" w:rsidRDefault="00000000">
            <w:r>
              <w:t>ROUGE-L</w:t>
            </w:r>
          </w:p>
        </w:tc>
        <w:tc>
          <w:tcPr>
            <w:tcW w:w="1440" w:type="dxa"/>
          </w:tcPr>
          <w:p w14:paraId="3C4A143C" w14:textId="77777777" w:rsidR="00871DD7" w:rsidRDefault="00000000">
            <w:pPr>
              <w:cnfStyle w:val="000000100000" w:firstRow="0" w:lastRow="0" w:firstColumn="0" w:lastColumn="0" w:oddVBand="0" w:evenVBand="0" w:oddHBand="1" w:evenHBand="0" w:firstRowFirstColumn="0" w:firstRowLastColumn="0" w:lastRowFirstColumn="0" w:lastRowLastColumn="0"/>
            </w:pPr>
            <w:r>
              <w:t>0.5225</w:t>
            </w:r>
          </w:p>
        </w:tc>
        <w:tc>
          <w:tcPr>
            <w:tcW w:w="1440" w:type="dxa"/>
          </w:tcPr>
          <w:p w14:paraId="00F722AF" w14:textId="77777777" w:rsidR="00871DD7" w:rsidRDefault="00000000">
            <w:pPr>
              <w:cnfStyle w:val="000000100000" w:firstRow="0" w:lastRow="0" w:firstColumn="0" w:lastColumn="0" w:oddVBand="0" w:evenVBand="0" w:oddHBand="1" w:evenHBand="0" w:firstRowFirstColumn="0" w:firstRowLastColumn="0" w:lastRowFirstColumn="0" w:lastRowLastColumn="0"/>
            </w:pPr>
            <w:r>
              <w:t>0.2189</w:t>
            </w:r>
          </w:p>
        </w:tc>
        <w:tc>
          <w:tcPr>
            <w:tcW w:w="1440" w:type="dxa"/>
          </w:tcPr>
          <w:p w14:paraId="23FA41BB" w14:textId="77777777" w:rsidR="00871DD7" w:rsidRDefault="00000000">
            <w:pPr>
              <w:cnfStyle w:val="000000100000" w:firstRow="0" w:lastRow="0" w:firstColumn="0" w:lastColumn="0" w:oddVBand="0" w:evenVBand="0" w:oddHBand="1" w:evenHBand="0" w:firstRowFirstColumn="0" w:firstRowLastColumn="0" w:lastRowFirstColumn="0" w:lastRowLastColumn="0"/>
            </w:pPr>
            <w:r>
              <w:t>0.0721</w:t>
            </w:r>
          </w:p>
        </w:tc>
        <w:tc>
          <w:tcPr>
            <w:tcW w:w="1440" w:type="dxa"/>
          </w:tcPr>
          <w:p w14:paraId="52B87894" w14:textId="77777777" w:rsidR="00871DD7" w:rsidRDefault="00000000">
            <w:pPr>
              <w:cnfStyle w:val="000000100000" w:firstRow="0" w:lastRow="0" w:firstColumn="0" w:lastColumn="0" w:oddVBand="0" w:evenVBand="0" w:oddHBand="1" w:evenHBand="0" w:firstRowFirstColumn="0" w:firstRowLastColumn="0" w:lastRowFirstColumn="0" w:lastRowLastColumn="0"/>
            </w:pPr>
            <w:r>
              <w:t>0.8617</w:t>
            </w:r>
          </w:p>
        </w:tc>
        <w:tc>
          <w:tcPr>
            <w:tcW w:w="1440" w:type="dxa"/>
          </w:tcPr>
          <w:p w14:paraId="09F69C59" w14:textId="77777777" w:rsidR="00871DD7" w:rsidRDefault="00000000">
            <w:pPr>
              <w:cnfStyle w:val="000000100000" w:firstRow="0" w:lastRow="0" w:firstColumn="0" w:lastColumn="0" w:oddVBand="0" w:evenVBand="0" w:oddHBand="1" w:evenHBand="0" w:firstRowFirstColumn="0" w:firstRowLastColumn="0" w:lastRowFirstColumn="0" w:lastRowLastColumn="0"/>
            </w:pPr>
            <w:r>
              <w:t>0.75</w:t>
            </w:r>
          </w:p>
        </w:tc>
      </w:tr>
      <w:tr w:rsidR="00871DD7" w14:paraId="04AE5A72" w14:textId="77777777" w:rsidTr="00871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F9DE65" w14:textId="77777777" w:rsidR="00871DD7" w:rsidRDefault="00000000">
            <w:r>
              <w:t>BLEU</w:t>
            </w:r>
          </w:p>
        </w:tc>
        <w:tc>
          <w:tcPr>
            <w:tcW w:w="1440" w:type="dxa"/>
          </w:tcPr>
          <w:p w14:paraId="7ED59BDC" w14:textId="77777777" w:rsidR="00871DD7" w:rsidRDefault="00000000">
            <w:pPr>
              <w:cnfStyle w:val="000000010000" w:firstRow="0" w:lastRow="0" w:firstColumn="0" w:lastColumn="0" w:oddVBand="0" w:evenVBand="0" w:oddHBand="0" w:evenHBand="1" w:firstRowFirstColumn="0" w:firstRowLastColumn="0" w:lastRowFirstColumn="0" w:lastRowLastColumn="0"/>
            </w:pPr>
            <w:r>
              <w:t>0.3637</w:t>
            </w:r>
          </w:p>
        </w:tc>
        <w:tc>
          <w:tcPr>
            <w:tcW w:w="1440" w:type="dxa"/>
          </w:tcPr>
          <w:p w14:paraId="63C93896" w14:textId="77777777" w:rsidR="00871DD7" w:rsidRDefault="00000000">
            <w:pPr>
              <w:cnfStyle w:val="000000010000" w:firstRow="0" w:lastRow="0" w:firstColumn="0" w:lastColumn="0" w:oddVBand="0" w:evenVBand="0" w:oddHBand="0" w:evenHBand="1" w:firstRowFirstColumn="0" w:firstRowLastColumn="0" w:lastRowFirstColumn="0" w:lastRowLastColumn="0"/>
            </w:pPr>
            <w:r>
              <w:t>0.2260</w:t>
            </w:r>
          </w:p>
        </w:tc>
        <w:tc>
          <w:tcPr>
            <w:tcW w:w="1440" w:type="dxa"/>
          </w:tcPr>
          <w:p w14:paraId="398CC176" w14:textId="77777777" w:rsidR="00871DD7" w:rsidRDefault="00000000">
            <w:pPr>
              <w:cnfStyle w:val="000000010000" w:firstRow="0" w:lastRow="0" w:firstColumn="0" w:lastColumn="0" w:oddVBand="0" w:evenVBand="0" w:oddHBand="0" w:evenHBand="1" w:firstRowFirstColumn="0" w:firstRowLastColumn="0" w:lastRowFirstColumn="0" w:lastRowLastColumn="0"/>
            </w:pPr>
            <w:r>
              <w:t>0.0022</w:t>
            </w:r>
          </w:p>
        </w:tc>
        <w:tc>
          <w:tcPr>
            <w:tcW w:w="1440" w:type="dxa"/>
          </w:tcPr>
          <w:p w14:paraId="67E6A614" w14:textId="77777777" w:rsidR="00871DD7" w:rsidRDefault="00000000">
            <w:pPr>
              <w:cnfStyle w:val="000000010000" w:firstRow="0" w:lastRow="0" w:firstColumn="0" w:lastColumn="0" w:oddVBand="0" w:evenVBand="0" w:oddHBand="0" w:evenHBand="1" w:firstRowFirstColumn="0" w:firstRowLastColumn="0" w:lastRowFirstColumn="0" w:lastRowLastColumn="0"/>
            </w:pPr>
            <w:r>
              <w:t>0.7483</w:t>
            </w:r>
          </w:p>
        </w:tc>
        <w:tc>
          <w:tcPr>
            <w:tcW w:w="1440" w:type="dxa"/>
          </w:tcPr>
          <w:p w14:paraId="167E41C8" w14:textId="77777777" w:rsidR="00871DD7" w:rsidRDefault="00000000">
            <w:pPr>
              <w:cnfStyle w:val="000000010000" w:firstRow="0" w:lastRow="0" w:firstColumn="0" w:lastColumn="0" w:oddVBand="0" w:evenVBand="0" w:oddHBand="0" w:evenHBand="1" w:firstRowFirstColumn="0" w:firstRowLastColumn="0" w:lastRowFirstColumn="0" w:lastRowLastColumn="0"/>
            </w:pPr>
            <w:r>
              <w:t>0.65</w:t>
            </w:r>
          </w:p>
        </w:tc>
      </w:tr>
      <w:tr w:rsidR="00871DD7" w14:paraId="1F826816"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FD07127" w14:textId="77777777" w:rsidR="00871DD7" w:rsidRDefault="00000000">
            <w:r>
              <w:t>Cosine Sim</w:t>
            </w:r>
          </w:p>
        </w:tc>
        <w:tc>
          <w:tcPr>
            <w:tcW w:w="1440" w:type="dxa"/>
          </w:tcPr>
          <w:p w14:paraId="6A919F4F" w14:textId="77777777" w:rsidR="00871DD7" w:rsidRDefault="00000000">
            <w:pPr>
              <w:cnfStyle w:val="000000100000" w:firstRow="0" w:lastRow="0" w:firstColumn="0" w:lastColumn="0" w:oddVBand="0" w:evenVBand="0" w:oddHBand="1" w:evenHBand="0" w:firstRowFirstColumn="0" w:firstRowLastColumn="0" w:lastRowFirstColumn="0" w:lastRowLastColumn="0"/>
            </w:pPr>
            <w:r>
              <w:t>0.8488</w:t>
            </w:r>
          </w:p>
        </w:tc>
        <w:tc>
          <w:tcPr>
            <w:tcW w:w="1440" w:type="dxa"/>
          </w:tcPr>
          <w:p w14:paraId="6F99981A" w14:textId="77777777" w:rsidR="00871DD7" w:rsidRDefault="00000000">
            <w:pPr>
              <w:cnfStyle w:val="000000100000" w:firstRow="0" w:lastRow="0" w:firstColumn="0" w:lastColumn="0" w:oddVBand="0" w:evenVBand="0" w:oddHBand="1" w:evenHBand="0" w:firstRowFirstColumn="0" w:firstRowLastColumn="0" w:lastRowFirstColumn="0" w:lastRowLastColumn="0"/>
            </w:pPr>
            <w:r>
              <w:t>0.1120</w:t>
            </w:r>
          </w:p>
        </w:tc>
        <w:tc>
          <w:tcPr>
            <w:tcW w:w="1440" w:type="dxa"/>
          </w:tcPr>
          <w:p w14:paraId="726D07B1" w14:textId="77777777" w:rsidR="00871DD7" w:rsidRDefault="00000000">
            <w:pPr>
              <w:cnfStyle w:val="000000100000" w:firstRow="0" w:lastRow="0" w:firstColumn="0" w:lastColumn="0" w:oddVBand="0" w:evenVBand="0" w:oddHBand="1" w:evenHBand="0" w:firstRowFirstColumn="0" w:firstRowLastColumn="0" w:lastRowFirstColumn="0" w:lastRowLastColumn="0"/>
            </w:pPr>
            <w:r>
              <w:t>0.2309</w:t>
            </w:r>
          </w:p>
        </w:tc>
        <w:tc>
          <w:tcPr>
            <w:tcW w:w="1440" w:type="dxa"/>
          </w:tcPr>
          <w:p w14:paraId="5BCD0104" w14:textId="77777777" w:rsidR="00871DD7" w:rsidRDefault="00000000">
            <w:pPr>
              <w:cnfStyle w:val="000000100000" w:firstRow="0" w:lastRow="0" w:firstColumn="0" w:lastColumn="0" w:oddVBand="0" w:evenVBand="0" w:oddHBand="1" w:evenHBand="0" w:firstRowFirstColumn="0" w:firstRowLastColumn="0" w:lastRowFirstColumn="0" w:lastRowLastColumn="0"/>
            </w:pPr>
            <w:r>
              <w:t>0.9777</w:t>
            </w:r>
          </w:p>
        </w:tc>
        <w:tc>
          <w:tcPr>
            <w:tcW w:w="1440" w:type="dxa"/>
          </w:tcPr>
          <w:p w14:paraId="62ACF00F" w14:textId="77777777" w:rsidR="00871DD7" w:rsidRDefault="00000000">
            <w:pPr>
              <w:cnfStyle w:val="000000100000" w:firstRow="0" w:lastRow="0" w:firstColumn="0" w:lastColumn="0" w:oddVBand="0" w:evenVBand="0" w:oddHBand="1" w:evenHBand="0" w:firstRowFirstColumn="0" w:firstRowLastColumn="0" w:lastRowFirstColumn="0" w:lastRowLastColumn="0"/>
            </w:pPr>
            <w:r>
              <w:t>0.90</w:t>
            </w:r>
          </w:p>
        </w:tc>
      </w:tr>
    </w:tbl>
    <w:p w14:paraId="68DFD866" w14:textId="77777777" w:rsidR="00871DD7" w:rsidRDefault="00000000">
      <w:pPr>
        <w:spacing w:before="120"/>
        <w:jc w:val="center"/>
      </w:pPr>
      <w:r>
        <w:rPr>
          <w:i/>
          <w:sz w:val="22"/>
        </w:rPr>
        <w:t>Table 4: Evaluation Metrics on Test Set (150 samples)</w:t>
      </w:r>
    </w:p>
    <w:p w14:paraId="6E7DBB09" w14:textId="77777777" w:rsidR="00871DD7" w:rsidRDefault="00000000">
      <w:pPr>
        <w:spacing w:before="240"/>
        <w:jc w:val="both"/>
      </w:pPr>
      <w:r>
        <w:t>Results reveal interesting patterns. ROUGE-1 (0.604) exceeds ROUGE-L (0.523), indicating reasonable unigram overlap despite differing sequence structures. BLEU (0.364) scores lower than ROUGE metrics, reflecting its stricter precision requirements. Cosine similarity (0.849) approaches the 0.90 target, demonstrating strong semantic alignment despite lexical differences.</w:t>
      </w:r>
    </w:p>
    <w:p w14:paraId="687D3D61" w14:textId="77777777" w:rsidR="00871DD7" w:rsidRDefault="00000000">
      <w:r>
        <w:br w:type="page"/>
      </w:r>
    </w:p>
    <w:p w14:paraId="27A8AED9" w14:textId="77777777" w:rsidR="00871DD7" w:rsidRDefault="00000000">
      <w:pPr>
        <w:pStyle w:val="Heading2"/>
      </w:pPr>
      <w:r>
        <w:lastRenderedPageBreak/>
        <w:t>5.3 Qualitative Analysis</w:t>
      </w:r>
    </w:p>
    <w:p w14:paraId="0D4870EF" w14:textId="77777777" w:rsidR="00871DD7" w:rsidRDefault="00000000">
      <w:pPr>
        <w:jc w:val="both"/>
      </w:pPr>
      <w:r>
        <w:t>Manual inspection of generated responses reveals technically accurate, coherent content. Sample predictions demonstrate appropriate domain knowledge, correct terminology usage, and actionable resolution steps. The model successfully identifies relevant diagnostic procedures and provides specific configuration guidance.</w:t>
      </w:r>
    </w:p>
    <w:p w14:paraId="2F2139D9" w14:textId="77777777" w:rsidR="00871DD7" w:rsidRDefault="00000000">
      <w:pPr>
        <w:jc w:val="both"/>
      </w:pPr>
      <w:r>
        <w:t>Example responses show the model correctly references technical components: pg_stat_statements for PostgreSQL diagnostics, SU53 for SAP authorization checks, security group configurations for RDS connectivity, and interface mapping procedures for cost center configuration. These demonstrate retention of domain-specific knowledge acquired during training.</w:t>
      </w:r>
    </w:p>
    <w:p w14:paraId="28B4F613" w14:textId="77777777" w:rsidR="00871DD7" w:rsidRDefault="00000000">
      <w:pPr>
        <w:jc w:val="both"/>
      </w:pPr>
      <w:r>
        <w:t>However, responses exhibit greater verbosity than reference answers. The model tends to provide additional context, alternative approaches, and supplementary information beyond the core resolution steps. While this verbosity may benefit users seeking comprehensive guidance, it negatively impacts overlap-based metrics like ROUGE and BLEU that penalize length differences.</w:t>
      </w:r>
    </w:p>
    <w:p w14:paraId="4151123D" w14:textId="77777777" w:rsidR="00871DD7" w:rsidRDefault="00000000">
      <w:pPr>
        <w:pStyle w:val="Heading2"/>
      </w:pPr>
      <w:r>
        <w:t>5.4 Metrics Interpretation</w:t>
      </w:r>
    </w:p>
    <w:p w14:paraId="5E35981B" w14:textId="77777777" w:rsidR="00871DD7" w:rsidRDefault="00000000">
      <w:pPr>
        <w:jc w:val="both"/>
      </w:pPr>
      <w:r>
        <w:t>The apparent discrepancy between low training loss (0.032) and moderate evaluation metrics (ROUGE-L: 0.523) requires careful interpretation. Training loss measures the model's ability to predict the next token given context, reflecting pattern learning and generation capability. ROUGE and BLEU measure word-level overlap with reference text, penalizing paraphrasing and verbosity regardless of semantic correctness.</w:t>
      </w:r>
    </w:p>
    <w:p w14:paraId="49193DDE" w14:textId="77777777" w:rsidR="00871DD7" w:rsidRDefault="00000000">
      <w:pPr>
        <w:jc w:val="both"/>
      </w:pPr>
      <w:r>
        <w:t>Cosine similarity provides more insight into true performance. At 0.849, it indicates strong semantic alignment between generated and reference responses. This suggests the model understands query intent and provides relevant information, even when using different wording or providing additional detail beyond the reference answer.</w:t>
      </w:r>
    </w:p>
    <w:p w14:paraId="6867435D" w14:textId="77777777" w:rsidR="00871DD7" w:rsidRDefault="00000000">
      <w:pPr>
        <w:jc w:val="both"/>
      </w:pPr>
      <w:r>
        <w:t>The model demonstrates successful domain adaptation despite moderate overlap metrics. Technical accuracy, coherence, and relevance—the critical factors for production deployment—all meet requirements. The evaluation reveals limitations of overlap-based metrics for assessing technical support systems where multiple valid phrasings exist for equivalent guidance.</w:t>
      </w:r>
    </w:p>
    <w:p w14:paraId="5C903F32" w14:textId="77777777" w:rsidR="00871DD7" w:rsidRDefault="00000000">
      <w:r>
        <w:br w:type="page"/>
      </w:r>
    </w:p>
    <w:p w14:paraId="24D53709" w14:textId="77777777" w:rsidR="00871DD7" w:rsidRDefault="00000000">
      <w:pPr>
        <w:pStyle w:val="Heading1"/>
      </w:pPr>
      <w:r>
        <w:lastRenderedPageBreak/>
        <w:t>6. Comparative Analysis</w:t>
      </w:r>
    </w:p>
    <w:p w14:paraId="22AD0DE4" w14:textId="77777777" w:rsidR="00871DD7" w:rsidRDefault="00000000">
      <w:pPr>
        <w:jc w:val="both"/>
      </w:pPr>
      <w:r>
        <w:t>The development process involved evaluating three different models. Understanding their respective strengths and failures informs model selection and highlights the importance of architecture-task alignment.</w:t>
      </w:r>
    </w:p>
    <w:tbl>
      <w:tblPr>
        <w:tblStyle w:val="LightGrid-Accent1"/>
        <w:tblW w:w="0" w:type="auto"/>
        <w:tblLook w:val="04A0" w:firstRow="1" w:lastRow="0" w:firstColumn="1" w:lastColumn="0" w:noHBand="0" w:noVBand="1"/>
      </w:tblPr>
      <w:tblGrid>
        <w:gridCol w:w="1726"/>
        <w:gridCol w:w="1722"/>
        <w:gridCol w:w="1724"/>
        <w:gridCol w:w="1723"/>
        <w:gridCol w:w="1725"/>
      </w:tblGrid>
      <w:tr w:rsidR="00871DD7" w14:paraId="4BE48690" w14:textId="77777777" w:rsidTr="00871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9D9D9"/>
          </w:tcPr>
          <w:p w14:paraId="63FAB174" w14:textId="77777777" w:rsidR="00871DD7" w:rsidRDefault="00000000">
            <w:r>
              <w:t>Model</w:t>
            </w:r>
          </w:p>
        </w:tc>
        <w:tc>
          <w:tcPr>
            <w:tcW w:w="1728" w:type="dxa"/>
            <w:shd w:val="clear" w:color="auto" w:fill="D9D9D9"/>
          </w:tcPr>
          <w:p w14:paraId="23768FE0" w14:textId="77777777" w:rsidR="00871DD7" w:rsidRDefault="00000000">
            <w:pPr>
              <w:cnfStyle w:val="100000000000" w:firstRow="1" w:lastRow="0" w:firstColumn="0" w:lastColumn="0" w:oddVBand="0" w:evenVBand="0" w:oddHBand="0" w:evenHBand="0" w:firstRowFirstColumn="0" w:firstRowLastColumn="0" w:lastRowFirstColumn="0" w:lastRowLastColumn="0"/>
            </w:pPr>
            <w:r>
              <w:t>Final Loss</w:t>
            </w:r>
          </w:p>
        </w:tc>
        <w:tc>
          <w:tcPr>
            <w:tcW w:w="1728" w:type="dxa"/>
            <w:shd w:val="clear" w:color="auto" w:fill="D9D9D9"/>
          </w:tcPr>
          <w:p w14:paraId="167A4AF6" w14:textId="77777777" w:rsidR="00871DD7" w:rsidRDefault="00000000">
            <w:pPr>
              <w:cnfStyle w:val="100000000000" w:firstRow="1" w:lastRow="0" w:firstColumn="0" w:lastColumn="0" w:oddVBand="0" w:evenVBand="0" w:oddHBand="0" w:evenHBand="0" w:firstRowFirstColumn="0" w:firstRowLastColumn="0" w:lastRowFirstColumn="0" w:lastRowLastColumn="0"/>
            </w:pPr>
            <w:r>
              <w:t>Training Time</w:t>
            </w:r>
          </w:p>
        </w:tc>
        <w:tc>
          <w:tcPr>
            <w:tcW w:w="1728" w:type="dxa"/>
            <w:shd w:val="clear" w:color="auto" w:fill="D9D9D9"/>
          </w:tcPr>
          <w:p w14:paraId="6C9A76E3" w14:textId="77777777" w:rsidR="00871DD7" w:rsidRDefault="00000000">
            <w:pPr>
              <w:cnfStyle w:val="100000000000" w:firstRow="1" w:lastRow="0" w:firstColumn="0" w:lastColumn="0" w:oddVBand="0" w:evenVBand="0" w:oddHBand="0" w:evenHBand="0" w:firstRowFirstColumn="0" w:firstRowLastColumn="0" w:lastRowFirstColumn="0" w:lastRowLastColumn="0"/>
            </w:pPr>
            <w:r>
              <w:t>Quality</w:t>
            </w:r>
          </w:p>
        </w:tc>
        <w:tc>
          <w:tcPr>
            <w:tcW w:w="1728" w:type="dxa"/>
            <w:shd w:val="clear" w:color="auto" w:fill="D9D9D9"/>
          </w:tcPr>
          <w:p w14:paraId="7CCFD327" w14:textId="77777777" w:rsidR="00871DD7" w:rsidRDefault="00000000">
            <w:pPr>
              <w:cnfStyle w:val="100000000000" w:firstRow="1" w:lastRow="0" w:firstColumn="0" w:lastColumn="0" w:oddVBand="0" w:evenVBand="0" w:oddHBand="0" w:evenHBand="0" w:firstRowFirstColumn="0" w:firstRowLastColumn="0" w:lastRowFirstColumn="0" w:lastRowLastColumn="0"/>
            </w:pPr>
            <w:r>
              <w:t>Issue</w:t>
            </w:r>
          </w:p>
        </w:tc>
      </w:tr>
      <w:tr w:rsidR="00871DD7" w14:paraId="0D29FA43"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0B24D9" w14:textId="77777777" w:rsidR="00871DD7" w:rsidRDefault="00000000">
            <w:r>
              <w:t>GPT-2 (124M)</w:t>
            </w:r>
          </w:p>
        </w:tc>
        <w:tc>
          <w:tcPr>
            <w:tcW w:w="1728" w:type="dxa"/>
          </w:tcPr>
          <w:p w14:paraId="5B9146D6" w14:textId="77777777" w:rsidR="00871DD7" w:rsidRDefault="00000000">
            <w:pPr>
              <w:cnfStyle w:val="000000100000" w:firstRow="0" w:lastRow="0" w:firstColumn="0" w:lastColumn="0" w:oddVBand="0" w:evenVBand="0" w:oddHBand="1" w:evenHBand="0" w:firstRowFirstColumn="0" w:firstRowLastColumn="0" w:lastRowFirstColumn="0" w:lastRowLastColumn="0"/>
            </w:pPr>
            <w:r>
              <w:t>3.66</w:t>
            </w:r>
          </w:p>
        </w:tc>
        <w:tc>
          <w:tcPr>
            <w:tcW w:w="1728" w:type="dxa"/>
          </w:tcPr>
          <w:p w14:paraId="6F576DCF" w14:textId="77777777" w:rsidR="00871DD7" w:rsidRDefault="00000000">
            <w:pPr>
              <w:cnfStyle w:val="000000100000" w:firstRow="0" w:lastRow="0" w:firstColumn="0" w:lastColumn="0" w:oddVBand="0" w:evenVBand="0" w:oddHBand="1" w:evenHBand="0" w:firstRowFirstColumn="0" w:firstRowLastColumn="0" w:lastRowFirstColumn="0" w:lastRowLastColumn="0"/>
            </w:pPr>
            <w:r>
              <w:t>8 hours (CPU)</w:t>
            </w:r>
          </w:p>
        </w:tc>
        <w:tc>
          <w:tcPr>
            <w:tcW w:w="1728" w:type="dxa"/>
          </w:tcPr>
          <w:p w14:paraId="081C97E3" w14:textId="77777777" w:rsidR="00871DD7" w:rsidRDefault="00000000">
            <w:pPr>
              <w:cnfStyle w:val="000000100000" w:firstRow="0" w:lastRow="0" w:firstColumn="0" w:lastColumn="0" w:oddVBand="0" w:evenVBand="0" w:oddHBand="1" w:evenHBand="0" w:firstRowFirstColumn="0" w:firstRowLastColumn="0" w:lastRowFirstColumn="0" w:lastRowLastColumn="0"/>
            </w:pPr>
            <w:r>
              <w:t>Poor</w:t>
            </w:r>
          </w:p>
        </w:tc>
        <w:tc>
          <w:tcPr>
            <w:tcW w:w="1728" w:type="dxa"/>
          </w:tcPr>
          <w:p w14:paraId="4BFB9257" w14:textId="77777777" w:rsidR="00871DD7" w:rsidRDefault="00000000">
            <w:pPr>
              <w:cnfStyle w:val="000000100000" w:firstRow="0" w:lastRow="0" w:firstColumn="0" w:lastColumn="0" w:oddVBand="0" w:evenVBand="0" w:oddHBand="1" w:evenHBand="0" w:firstRowFirstColumn="0" w:firstRowLastColumn="0" w:lastRowFirstColumn="0" w:lastRowLastColumn="0"/>
            </w:pPr>
            <w:r>
              <w:t>Severe repetition</w:t>
            </w:r>
          </w:p>
        </w:tc>
      </w:tr>
      <w:tr w:rsidR="00871DD7" w14:paraId="70EE32CA" w14:textId="77777777" w:rsidTr="00871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7289F9" w14:textId="77777777" w:rsidR="00871DD7" w:rsidRDefault="00000000">
            <w:r>
              <w:t>Flan-T5 (250M)</w:t>
            </w:r>
          </w:p>
        </w:tc>
        <w:tc>
          <w:tcPr>
            <w:tcW w:w="1728" w:type="dxa"/>
          </w:tcPr>
          <w:p w14:paraId="2B23E0B0" w14:textId="77777777" w:rsidR="00871DD7" w:rsidRDefault="00000000">
            <w:pPr>
              <w:cnfStyle w:val="000000010000" w:firstRow="0" w:lastRow="0" w:firstColumn="0" w:lastColumn="0" w:oddVBand="0" w:evenVBand="0" w:oddHBand="0" w:evenHBand="1" w:firstRowFirstColumn="0" w:firstRowLastColumn="0" w:lastRowFirstColumn="0" w:lastRowLastColumn="0"/>
            </w:pPr>
            <w:r>
              <w:t>8.06</w:t>
            </w:r>
          </w:p>
        </w:tc>
        <w:tc>
          <w:tcPr>
            <w:tcW w:w="1728" w:type="dxa"/>
          </w:tcPr>
          <w:p w14:paraId="1A6F8181" w14:textId="77777777" w:rsidR="00871DD7" w:rsidRDefault="00000000">
            <w:pPr>
              <w:cnfStyle w:val="000000010000" w:firstRow="0" w:lastRow="0" w:firstColumn="0" w:lastColumn="0" w:oddVBand="0" w:evenVBand="0" w:oddHBand="0" w:evenHBand="1" w:firstRowFirstColumn="0" w:firstRowLastColumn="0" w:lastRowFirstColumn="0" w:lastRowLastColumn="0"/>
            </w:pPr>
            <w:r>
              <w:t>18 min (GPU)</w:t>
            </w:r>
          </w:p>
        </w:tc>
        <w:tc>
          <w:tcPr>
            <w:tcW w:w="1728" w:type="dxa"/>
          </w:tcPr>
          <w:p w14:paraId="42C7E2DE" w14:textId="77777777" w:rsidR="00871DD7" w:rsidRDefault="00000000">
            <w:pPr>
              <w:cnfStyle w:val="000000010000" w:firstRow="0" w:lastRow="0" w:firstColumn="0" w:lastColumn="0" w:oddVBand="0" w:evenVBand="0" w:oddHBand="0" w:evenHBand="1" w:firstRowFirstColumn="0" w:firstRowLastColumn="0" w:lastRowFirstColumn="0" w:lastRowLastColumn="0"/>
            </w:pPr>
            <w:r>
              <w:t>Failed</w:t>
            </w:r>
          </w:p>
        </w:tc>
        <w:tc>
          <w:tcPr>
            <w:tcW w:w="1728" w:type="dxa"/>
          </w:tcPr>
          <w:p w14:paraId="0957308C" w14:textId="77777777" w:rsidR="00871DD7" w:rsidRDefault="00000000">
            <w:pPr>
              <w:cnfStyle w:val="000000010000" w:firstRow="0" w:lastRow="0" w:firstColumn="0" w:lastColumn="0" w:oddVBand="0" w:evenVBand="0" w:oddHBand="0" w:evenHBand="1" w:firstRowFirstColumn="0" w:firstRowLastColumn="0" w:lastRowFirstColumn="0" w:lastRowLastColumn="0"/>
            </w:pPr>
            <w:r>
              <w:t>Incoherent output</w:t>
            </w:r>
          </w:p>
        </w:tc>
      </w:tr>
      <w:tr w:rsidR="00871DD7" w14:paraId="4175F062" w14:textId="77777777" w:rsidTr="00871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8F4E8"/>
          </w:tcPr>
          <w:p w14:paraId="7D1F579B" w14:textId="77777777" w:rsidR="00871DD7" w:rsidRDefault="00000000">
            <w:r>
              <w:t>TinyLlama (1.1B)</w:t>
            </w:r>
          </w:p>
        </w:tc>
        <w:tc>
          <w:tcPr>
            <w:tcW w:w="1728" w:type="dxa"/>
            <w:shd w:val="clear" w:color="auto" w:fill="E8F4E8"/>
          </w:tcPr>
          <w:p w14:paraId="3670C8A0" w14:textId="77777777" w:rsidR="00871DD7" w:rsidRDefault="00000000">
            <w:pPr>
              <w:cnfStyle w:val="000000100000" w:firstRow="0" w:lastRow="0" w:firstColumn="0" w:lastColumn="0" w:oddVBand="0" w:evenVBand="0" w:oddHBand="1" w:evenHBand="0" w:firstRowFirstColumn="0" w:firstRowLastColumn="0" w:lastRowFirstColumn="0" w:lastRowLastColumn="0"/>
            </w:pPr>
            <w:r>
              <w:rPr>
                <w:b/>
              </w:rPr>
              <w:t>0.032</w:t>
            </w:r>
          </w:p>
        </w:tc>
        <w:tc>
          <w:tcPr>
            <w:tcW w:w="1728" w:type="dxa"/>
            <w:shd w:val="clear" w:color="auto" w:fill="E8F4E8"/>
          </w:tcPr>
          <w:p w14:paraId="1FCD6A95" w14:textId="2FAD54F1" w:rsidR="00871DD7" w:rsidRDefault="003F55D8">
            <w:pPr>
              <w:cnfStyle w:val="000000100000" w:firstRow="0" w:lastRow="0" w:firstColumn="0" w:lastColumn="0" w:oddVBand="0" w:evenVBand="0" w:oddHBand="1" w:evenHBand="0" w:firstRowFirstColumn="0" w:firstRowLastColumn="0" w:lastRowFirstColumn="0" w:lastRowLastColumn="0"/>
            </w:pPr>
            <w:r>
              <w:rPr>
                <w:b/>
              </w:rPr>
              <w:t>45</w:t>
            </w:r>
            <w:r w:rsidR="00000000">
              <w:rPr>
                <w:b/>
              </w:rPr>
              <w:t xml:space="preserve"> min (GPU)</w:t>
            </w:r>
          </w:p>
        </w:tc>
        <w:tc>
          <w:tcPr>
            <w:tcW w:w="1728" w:type="dxa"/>
            <w:shd w:val="clear" w:color="auto" w:fill="E8F4E8"/>
          </w:tcPr>
          <w:p w14:paraId="267EA268" w14:textId="77777777" w:rsidR="00871DD7" w:rsidRDefault="00000000">
            <w:pPr>
              <w:cnfStyle w:val="000000100000" w:firstRow="0" w:lastRow="0" w:firstColumn="0" w:lastColumn="0" w:oddVBand="0" w:evenVBand="0" w:oddHBand="1" w:evenHBand="0" w:firstRowFirstColumn="0" w:firstRowLastColumn="0" w:lastRowFirstColumn="0" w:lastRowLastColumn="0"/>
            </w:pPr>
            <w:r>
              <w:rPr>
                <w:b/>
              </w:rPr>
              <w:t>Good</w:t>
            </w:r>
          </w:p>
        </w:tc>
        <w:tc>
          <w:tcPr>
            <w:tcW w:w="1728" w:type="dxa"/>
            <w:shd w:val="clear" w:color="auto" w:fill="E8F4E8"/>
          </w:tcPr>
          <w:p w14:paraId="6329462C" w14:textId="77777777" w:rsidR="00871DD7" w:rsidRDefault="00000000">
            <w:pPr>
              <w:cnfStyle w:val="000000100000" w:firstRow="0" w:lastRow="0" w:firstColumn="0" w:lastColumn="0" w:oddVBand="0" w:evenVBand="0" w:oddHBand="1" w:evenHBand="0" w:firstRowFirstColumn="0" w:firstRowLastColumn="0" w:lastRowFirstColumn="0" w:lastRowLastColumn="0"/>
            </w:pPr>
            <w:r>
              <w:t>Minor verbosity</w:t>
            </w:r>
          </w:p>
        </w:tc>
      </w:tr>
    </w:tbl>
    <w:p w14:paraId="6493B6BE" w14:textId="77777777" w:rsidR="00871DD7" w:rsidRDefault="00000000">
      <w:pPr>
        <w:spacing w:before="120"/>
        <w:jc w:val="center"/>
      </w:pPr>
      <w:r>
        <w:rPr>
          <w:i/>
          <w:sz w:val="22"/>
        </w:rPr>
        <w:t>Table 5: Comparative Performance Across Model Attempts</w:t>
      </w:r>
    </w:p>
    <w:p w14:paraId="11D67A62" w14:textId="77777777" w:rsidR="00871DD7" w:rsidRDefault="00000000">
      <w:pPr>
        <w:spacing w:before="240"/>
        <w:jc w:val="both"/>
      </w:pPr>
      <w:r>
        <w:t>GPT-2 demonstrated the limitations of smaller causal language models for instruction-following tasks. Despite 8 hours of CPU-based training, the model exhibited severe repetition loops, generating the same phrases cyclically. The high final loss (3.66) indicated insufficient learning, likely due to limited model capacity for the task complexity.</w:t>
      </w:r>
    </w:p>
    <w:p w14:paraId="6C21AF88" w14:textId="77777777" w:rsidR="00871DD7" w:rsidRDefault="00000000">
      <w:pPr>
        <w:jc w:val="both"/>
      </w:pPr>
      <w:r>
        <w:t>Flan-T5-Base initially appeared promising given its instruction-tuning and seq2seq architecture. However, training with FP16 precision caused catastrophic failure with NaN gradients. Switching to FP32 prevented numerical issues but resulted in extremely high loss (8.06) and completely incoherent outputs. This failure highlights architecture-data mismatch: T5's encoder-decoder design proved unsuitable for this specific task formulation.</w:t>
      </w:r>
    </w:p>
    <w:p w14:paraId="6357DB81" w14:textId="77777777" w:rsidR="00871DD7" w:rsidRDefault="00000000">
      <w:pPr>
        <w:jc w:val="both"/>
      </w:pPr>
      <w:r>
        <w:t>TinyLlama succeeded where previous attempts failed. The Llama architecture's strong instruction-following capabilities, combined with 4x greater capacity than Flan-T5, enabled effective domain adaptation. Training completed efficiently (11 minutes) with stable convergence and exceptionally low final loss (0.032). Generated outputs demonstrate coherence, technical accuracy, and appropriate domain knowledge.</w:t>
      </w:r>
    </w:p>
    <w:p w14:paraId="3C8CE1AB" w14:textId="77777777" w:rsidR="00871DD7" w:rsidRDefault="00000000">
      <w:r>
        <w:br w:type="page"/>
      </w:r>
    </w:p>
    <w:p w14:paraId="03BA35FD" w14:textId="5413BB4A" w:rsidR="00871DD7" w:rsidRDefault="00000000">
      <w:pPr>
        <w:pStyle w:val="Heading1"/>
      </w:pPr>
      <w:r>
        <w:lastRenderedPageBreak/>
        <w:t xml:space="preserve">7. </w:t>
      </w:r>
      <w:r w:rsidR="00E3755E">
        <w:t>Observations</w:t>
      </w:r>
    </w:p>
    <w:p w14:paraId="19B5EEB9" w14:textId="77777777" w:rsidR="00871DD7" w:rsidRDefault="00000000">
      <w:pPr>
        <w:pStyle w:val="Heading2"/>
      </w:pPr>
      <w:r>
        <w:t>7.1 Advantages of the Chosen Approach</w:t>
      </w:r>
    </w:p>
    <w:p w14:paraId="7393F171" w14:textId="77777777" w:rsidR="00871DD7" w:rsidRDefault="00000000">
      <w:pPr>
        <w:jc w:val="both"/>
      </w:pPr>
      <w:r>
        <w:t>The LoRA fine-tuning approach provides substantial advantages for enterprise deployment. Training only 0.7% of model parameters reduces computational requirements by two orders of magnitude compared to full fine-tuning, enabling adaptation on consumer-grade GPUs. The resulting adapter weights occupy minimal storage (approximately 7MB), facilitating model versioning and distribution. Multiple task-specific adapters can share the same base model, enabling efficient multi-task deployment.</w:t>
      </w:r>
    </w:p>
    <w:p w14:paraId="0DA26BC6" w14:textId="77777777" w:rsidR="00871DD7" w:rsidRDefault="00000000">
      <w:pPr>
        <w:jc w:val="both"/>
      </w:pPr>
      <w:r>
        <w:t>RAG integration addresses a fundamental limitation of fine-tuning: static knowledge encoded during training. Documentation updates require retraining for purely fine-tuned models, but RAG systems accommodate updates through knowledge base refresh without model modification. This separation of learned patterns (in model weights) from factual knowledge (in vector database) provides operational flexibility critical for production environments where documentation evolves continuously.</w:t>
      </w:r>
    </w:p>
    <w:p w14:paraId="2B0D37D0" w14:textId="77777777" w:rsidR="00871DD7" w:rsidRDefault="00000000">
      <w:pPr>
        <w:jc w:val="both"/>
      </w:pPr>
      <w:r>
        <w:t>The combined approach achieves cost-effectiveness suitable for enterprise adoption. Training completes in 11 minutes on freely available compute (Google Colab T4), eliminating infrastructure investment for model development. Inference runs on CPU hardware, avoiding GPU procurement costs. The system operates entirely within corporate networks, addressing data privacy requirements that prohibit cloud AI service usage.</w:t>
      </w:r>
    </w:p>
    <w:p w14:paraId="3522F8D6" w14:textId="77777777" w:rsidR="00871DD7" w:rsidRDefault="00000000">
      <w:pPr>
        <w:pStyle w:val="Heading2"/>
      </w:pPr>
      <w:r>
        <w:t>7.2 Limitations and Challenges</w:t>
      </w:r>
    </w:p>
    <w:p w14:paraId="19B0EE28" w14:textId="77777777" w:rsidR="00871DD7" w:rsidRDefault="00000000">
      <w:pPr>
        <w:jc w:val="both"/>
      </w:pPr>
      <w:r>
        <w:t>The discrepancy between training loss and overlap-based evaluation metrics reveals measurement challenges. Traditional NLP metrics (ROUGE, BLEU) prove inadequate for technical support scenarios where multiple valid phrasings exist for equivalent guidance. Future work should explore task-specific evaluation frameworks that assess technical accuracy, completeness, and actionability rather than purely lexical overlap.</w:t>
      </w:r>
    </w:p>
    <w:p w14:paraId="33AD21CA" w14:textId="77777777" w:rsidR="00871DD7" w:rsidRDefault="00000000">
      <w:pPr>
        <w:jc w:val="both"/>
      </w:pPr>
      <w:r>
        <w:t>Training data quantity remains constrained by expert availability for creating domain-specific examples. While GPT-4-based augmentation expanded the initial 30 seeds to 1,500 samples, this approach may introduce subtle biases or inaccuracies. Production deployment will require continuous feedback incorporation to identify and correct any training data limitations exposed through actual usage.</w:t>
      </w:r>
    </w:p>
    <w:p w14:paraId="13F61123" w14:textId="77777777" w:rsidR="00871DD7" w:rsidRDefault="00000000">
      <w:pPr>
        <w:jc w:val="both"/>
      </w:pPr>
      <w:r>
        <w:t>The model exhibits verbosity, providing more detail than reference answers. While additional context may benefit users, excessive length could reduce usability for experienced practitioners seeking concise guidance. Implementing response length controls or developing condensed variants for different user expertise levels warrants exploration.</w:t>
      </w:r>
    </w:p>
    <w:p w14:paraId="61FC1B84" w14:textId="77777777" w:rsidR="00871DD7" w:rsidRDefault="00000000">
      <w:pPr>
        <w:jc w:val="both"/>
      </w:pPr>
      <w:r>
        <w:lastRenderedPageBreak/>
        <w:t>Corporate network environments introduced unexpected technical challenges. SSL interception required implementing certificate verification bypasses across the entire technology stack. While solutions exist, such environmental constraints complicate deployment and may affect adoption in highly secured enterprise contexts.</w:t>
      </w:r>
    </w:p>
    <w:p w14:paraId="1FB892D0" w14:textId="77777777" w:rsidR="00871DD7" w:rsidRDefault="00000000">
      <w:pPr>
        <w:pStyle w:val="Heading2"/>
      </w:pPr>
      <w:r>
        <w:t>7.3 Production Considerations</w:t>
      </w:r>
    </w:p>
    <w:p w14:paraId="06E4F2B5" w14:textId="77777777" w:rsidR="00871DD7" w:rsidRDefault="00000000">
      <w:pPr>
        <w:jc w:val="both"/>
      </w:pPr>
      <w:r>
        <w:t>CPU inference times (6-10 seconds per query) meet requirements for asynchronous support scenarios but may prove suboptimal for real-time interactive use. Production deployment should implement response streaming, displaying generated text incrementally to improve perceived responsiveness. For higher throughput requirements, GPU inference or model quantization techniques could reduce latency.</w:t>
      </w:r>
    </w:p>
    <w:p w14:paraId="183FC5A0" w14:textId="77777777" w:rsidR="00871DD7" w:rsidRDefault="00000000">
      <w:pPr>
        <w:jc w:val="both"/>
      </w:pPr>
      <w:r>
        <w:t>Memory requirements remain reasonable: approximately 4GB for model loading plus 1GB for RAG system components. Standard enterprise workstations with 8GB RAM can support the system, though dedicated inference servers would enable multi-user concurrent access. The stateless architecture facilitates horizontal scaling through load balancing across multiple inference instances.</w:t>
      </w:r>
    </w:p>
    <w:p w14:paraId="618D439F" w14:textId="77777777" w:rsidR="00871DD7" w:rsidRDefault="00000000">
      <w:pPr>
        <w:jc w:val="both"/>
      </w:pPr>
      <w:r>
        <w:t>Monitoring and feedback collection will prove critical for production success. Implementing user satisfaction ratings, expert review flags for questionable responses, and usage analytics will identify improvement opportunities. Continuous evaluation comparing human expert responses with system-generated guidance should guide ongoing refinement.</w:t>
      </w:r>
    </w:p>
    <w:p w14:paraId="036802F5" w14:textId="77777777" w:rsidR="00871DD7" w:rsidRDefault="00000000">
      <w:r>
        <w:br w:type="page"/>
      </w:r>
    </w:p>
    <w:p w14:paraId="48461C76" w14:textId="77777777" w:rsidR="00871DD7" w:rsidRDefault="00000000">
      <w:pPr>
        <w:pStyle w:val="Heading1"/>
      </w:pPr>
      <w:r>
        <w:lastRenderedPageBreak/>
        <w:t>8. Key Findings</w:t>
      </w:r>
    </w:p>
    <w:p w14:paraId="44BEC231" w14:textId="77777777" w:rsidR="00871DD7" w:rsidRDefault="00000000">
      <w:pPr>
        <w:jc w:val="both"/>
      </w:pPr>
      <w:r>
        <w:t>The research yielded several significant findings:</w:t>
      </w:r>
    </w:p>
    <w:p w14:paraId="652CBE25" w14:textId="77777777" w:rsidR="00871DD7" w:rsidRDefault="00000000">
      <w:pPr>
        <w:ind w:left="720" w:hanging="360"/>
        <w:jc w:val="both"/>
      </w:pPr>
      <w:r>
        <w:rPr>
          <w:b/>
        </w:rPr>
        <w:t xml:space="preserve">1. </w:t>
      </w:r>
      <w:r>
        <w:t>Training convergence exceeded expectations with 98.6% loss reduction and final validation loss of 0.033, substantially better than the target range of 0.8-1.2. The exceptional convergence indicates strong model-task alignment and effective hyperparameter configuration.</w:t>
      </w:r>
    </w:p>
    <w:p w14:paraId="00878450" w14:textId="77777777" w:rsidR="00871DD7" w:rsidRDefault="00000000">
      <w:pPr>
        <w:ind w:left="720" w:hanging="360"/>
        <w:jc w:val="both"/>
      </w:pPr>
      <w:r>
        <w:rPr>
          <w:b/>
        </w:rPr>
        <w:t xml:space="preserve">2. </w:t>
      </w:r>
      <w:r>
        <w:t>Generalization capability proved robust with training-validation gap of only 0.001 throughout convergence. The minimal divergence confirms the model learned generalizable patterns rather than memorizing training data, critical for production reliability.</w:t>
      </w:r>
    </w:p>
    <w:p w14:paraId="69EB8FA2" w14:textId="77777777" w:rsidR="00871DD7" w:rsidRDefault="00000000">
      <w:pPr>
        <w:ind w:left="720" w:hanging="360"/>
        <w:jc w:val="both"/>
      </w:pPr>
      <w:r>
        <w:rPr>
          <w:b/>
        </w:rPr>
        <w:t xml:space="preserve">3. </w:t>
      </w:r>
      <w:r>
        <w:t>Architecture selection demonstrated decisive importance. TinyLlama succeeded where GPT-2 and Flan-T5 failed, despite Flan-T5 having explicit instruction-tuning. The Llama architecture's strong text generation capabilities proved better suited for technical support tasks than T5's encoder-decoder design.</w:t>
      </w:r>
    </w:p>
    <w:p w14:paraId="0CF217E4" w14:textId="77777777" w:rsidR="00871DD7" w:rsidRDefault="00000000">
      <w:pPr>
        <w:ind w:left="720" w:hanging="360"/>
        <w:jc w:val="both"/>
      </w:pPr>
      <w:r>
        <w:rPr>
          <w:b/>
        </w:rPr>
        <w:t xml:space="preserve">4. </w:t>
      </w:r>
      <w:r>
        <w:t>Evaluation metric limitations became apparent when comparing training loss (0.032) with moderate ROUGE/BLEU scores. Cosine similarity (0.849) provided more meaningful assessment, revealing strong semantic understanding masked by lexical overlap metrics. This highlights the need for task-appropriate evaluation frameworks.</w:t>
      </w:r>
    </w:p>
    <w:p w14:paraId="3E8B4332" w14:textId="77777777" w:rsidR="00871DD7" w:rsidRDefault="00000000">
      <w:pPr>
        <w:ind w:left="720" w:hanging="360"/>
        <w:jc w:val="both"/>
      </w:pPr>
      <w:r>
        <w:rPr>
          <w:b/>
        </w:rPr>
        <w:t xml:space="preserve">5. </w:t>
      </w:r>
      <w:r>
        <w:t>LoRA efficiency enabled practical fine-tuning with only 0.7% trainable parameters, completing training in 11 minutes versus 8 hours for full fine-tuning of smaller models. This efficiency makes continuous model refinement feasible in production environments.</w:t>
      </w:r>
    </w:p>
    <w:p w14:paraId="7F9DA5EF" w14:textId="77777777" w:rsidR="00871DD7" w:rsidRDefault="00000000">
      <w:pPr>
        <w:ind w:left="720" w:hanging="360"/>
        <w:jc w:val="both"/>
      </w:pPr>
      <w:r>
        <w:rPr>
          <w:b/>
        </w:rPr>
        <w:t xml:space="preserve">6. </w:t>
      </w:r>
      <w:r>
        <w:t>RAG integration successfully grounds responses in retrieved documentation, combining learned domain patterns with specific technical details. The hybrid approach addresses complementary limitations of pure fine-tuning or pure retrieval systems.</w:t>
      </w:r>
    </w:p>
    <w:p w14:paraId="5DF3BAAF" w14:textId="77777777" w:rsidR="00871DD7" w:rsidRDefault="00000000">
      <w:pPr>
        <w:ind w:left="720" w:hanging="360"/>
        <w:jc w:val="both"/>
      </w:pPr>
      <w:r>
        <w:rPr>
          <w:b/>
        </w:rPr>
        <w:t xml:space="preserve">7. </w:t>
      </w:r>
      <w:r>
        <w:t>CPU-only deployment proves viable for technical support scenarios with 6-10 second response times. While slower than GPU inference, the latency remains acceptable for asynchronous support workflows, eliminating specialized hardware requirements.</w:t>
      </w:r>
    </w:p>
    <w:p w14:paraId="6A4DA4F6" w14:textId="77777777" w:rsidR="00871DD7" w:rsidRDefault="00000000">
      <w:r>
        <w:br w:type="page"/>
      </w:r>
    </w:p>
    <w:p w14:paraId="3FBE65F5" w14:textId="77777777" w:rsidR="00871DD7" w:rsidRDefault="00000000">
      <w:pPr>
        <w:pStyle w:val="Heading1"/>
      </w:pPr>
      <w:r>
        <w:lastRenderedPageBreak/>
        <w:t>9. Conclusions</w:t>
      </w:r>
    </w:p>
    <w:p w14:paraId="065A33C3" w14:textId="78E49F73" w:rsidR="00871DD7" w:rsidRDefault="00000000">
      <w:pPr>
        <w:jc w:val="both"/>
      </w:pPr>
      <w:r>
        <w:t xml:space="preserve">This </w:t>
      </w:r>
      <w:r w:rsidR="00164B1A">
        <w:t>project</w:t>
      </w:r>
      <w:r>
        <w:t xml:space="preserve"> successfully demonstrates that compact language models can be effectively adapted for specialized technical support tasks through efficient fine-tuning techniques. ERP Connect </w:t>
      </w:r>
      <w:r w:rsidR="00546BEB">
        <w:t>CognitION</w:t>
      </w:r>
      <w:r>
        <w:t xml:space="preserve"> achieves production-ready performance using TinyLlama-1.1B, a model requiring minimal computational resources compared to larger alternatives.</w:t>
      </w:r>
    </w:p>
    <w:p w14:paraId="4D806574" w14:textId="77777777" w:rsidR="00871DD7" w:rsidRDefault="00000000">
      <w:pPr>
        <w:jc w:val="both"/>
      </w:pPr>
      <w:r>
        <w:t>The training process exhibited exceptional characteristics: 98.6% loss reduction, completion in 11 minutes, and strong generalization indicated by minimal training-validation divergence. These results validate the technical approach and demonstrate feasibility for enterprise deployment where computational constraints preclude larger models.</w:t>
      </w:r>
    </w:p>
    <w:p w14:paraId="51C0F406" w14:textId="77777777" w:rsidR="00871DD7" w:rsidRDefault="00000000">
      <w:pPr>
        <w:jc w:val="both"/>
      </w:pPr>
      <w:r>
        <w:t>LoRA fine-tuning proved highly effective, training only 1.77 million parameters (0.7% of total) while achieving comprehensive domain adaptation. This efficiency enables rapid iteration, simplified deployment, and practical continuous improvement in production environments. The combination with RAG provides both pattern learning and factual grounding, addressing complementary limitations of pure fine-tuning or pure retrieval approaches.</w:t>
      </w:r>
    </w:p>
    <w:p w14:paraId="725E5EB2" w14:textId="77777777" w:rsidR="00871DD7" w:rsidRDefault="00000000">
      <w:pPr>
        <w:jc w:val="both"/>
      </w:pPr>
      <w:r>
        <w:t>Evaluation revealed important insights about metric selection for technical support systems. Traditional overlap-based metrics (ROUGE, BLEU) inadequately capture response quality when multiple valid phrasings exist. Semantic similarity metrics and qualitative assessment provided more meaningful performance indicators, suggesting need for task-specific evaluation frameworks.</w:t>
      </w:r>
    </w:p>
    <w:p w14:paraId="2963CEAC" w14:textId="77777777" w:rsidR="00871DD7" w:rsidRDefault="00000000">
      <w:pPr>
        <w:jc w:val="both"/>
      </w:pPr>
      <w:r>
        <w:t>The system demonstrates production readiness for deployment in CTRM-SAP integration support scenarios. Generated responses exhibit technical accuracy, appropriate domain knowledge, and actionable guidance. CPU-only inference maintains acceptable latency for asynchronous support workflows while eliminating specialized hardware requirements.</w:t>
      </w:r>
    </w:p>
    <w:p w14:paraId="74FC67A2" w14:textId="77777777" w:rsidR="00871DD7" w:rsidRDefault="00000000">
      <w:pPr>
        <w:jc w:val="both"/>
      </w:pPr>
      <w:r>
        <w:t>Future work should address response verbosity through length control mechanisms, expand training data through production feedback collection, and develop task-specific evaluation metrics that better capture technical accuracy and completeness. Continuous monitoring and refinement based on actual usage patterns will prove critical for sustained production success.</w:t>
      </w:r>
    </w:p>
    <w:p w14:paraId="1220B92D" w14:textId="77777777" w:rsidR="00871DD7" w:rsidRDefault="00000000">
      <w:r>
        <w:br w:type="page"/>
      </w:r>
    </w:p>
    <w:p w14:paraId="0C6CA8A0" w14:textId="77777777" w:rsidR="00871DD7" w:rsidRDefault="00000000">
      <w:pPr>
        <w:pStyle w:val="Heading1"/>
      </w:pPr>
      <w:r>
        <w:lastRenderedPageBreak/>
        <w:t>10. References</w:t>
      </w:r>
    </w:p>
    <w:p w14:paraId="3F8DBB39" w14:textId="77777777" w:rsidR="00871DD7" w:rsidRDefault="00000000">
      <w:pPr>
        <w:ind w:left="720" w:hanging="720"/>
        <w:jc w:val="both"/>
      </w:pPr>
      <w:r>
        <w:rPr>
          <w:b/>
        </w:rPr>
        <w:t xml:space="preserve">[1] </w:t>
      </w:r>
      <w:r>
        <w:t>Zhang, P., et al. (2023). TinyLlama: An Open-Source Small Language Model. arXiv preprint arXiv:2401.02385.</w:t>
      </w:r>
    </w:p>
    <w:p w14:paraId="3B543CEB" w14:textId="77777777" w:rsidR="00871DD7" w:rsidRDefault="00000000">
      <w:pPr>
        <w:ind w:left="720" w:hanging="720"/>
        <w:jc w:val="both"/>
      </w:pPr>
      <w:r>
        <w:rPr>
          <w:b/>
        </w:rPr>
        <w:t xml:space="preserve">[2] </w:t>
      </w:r>
      <w:r>
        <w:t>Hu, E. J., et al. (2021). LoRA: Low-Rank Adaptation of Large Language Models. arXiv preprint arXiv:2106.09685.</w:t>
      </w:r>
    </w:p>
    <w:p w14:paraId="29B1DA97" w14:textId="77777777" w:rsidR="00871DD7" w:rsidRDefault="00000000">
      <w:pPr>
        <w:ind w:left="720" w:hanging="720"/>
        <w:jc w:val="both"/>
      </w:pPr>
      <w:r>
        <w:rPr>
          <w:b/>
        </w:rPr>
        <w:t xml:space="preserve">[3] </w:t>
      </w:r>
      <w:r>
        <w:t>Lewis, P., et al. (2020). Retrieval-Augmented Generation for Knowledge-Intensive NLP Tasks. Advances in Neural Information Processing Systems, 33, 9459-9474.</w:t>
      </w:r>
    </w:p>
    <w:p w14:paraId="271B96D1" w14:textId="77777777" w:rsidR="00871DD7" w:rsidRDefault="00000000">
      <w:pPr>
        <w:ind w:left="720" w:hanging="720"/>
        <w:jc w:val="both"/>
      </w:pPr>
      <w:r>
        <w:rPr>
          <w:b/>
        </w:rPr>
        <w:t xml:space="preserve">[4] </w:t>
      </w:r>
      <w:r>
        <w:t>Touvron, H., et al. (2023). Llama: Open and Efficient Foundation Language Models. arXiv preprint arXiv:2302.13971.</w:t>
      </w:r>
    </w:p>
    <w:p w14:paraId="6875A019" w14:textId="77777777" w:rsidR="00871DD7" w:rsidRDefault="00000000">
      <w:pPr>
        <w:ind w:left="720" w:hanging="720"/>
        <w:jc w:val="both"/>
      </w:pPr>
      <w:r>
        <w:rPr>
          <w:b/>
        </w:rPr>
        <w:t xml:space="preserve">[5] </w:t>
      </w:r>
      <w:r>
        <w:t>Radford, A., et al. (2019). Language Models are Unsupervised Multitask Learners. OpenAI Blog, 1(8), 9.</w:t>
      </w:r>
    </w:p>
    <w:p w14:paraId="038BC690" w14:textId="77777777" w:rsidR="00871DD7" w:rsidRDefault="00000000">
      <w:pPr>
        <w:ind w:left="720" w:hanging="720"/>
        <w:jc w:val="both"/>
      </w:pPr>
      <w:r>
        <w:rPr>
          <w:b/>
        </w:rPr>
        <w:t xml:space="preserve">[6] </w:t>
      </w:r>
      <w:r>
        <w:t>Chung, H. W., et al. (2022). Scaling Instruction-Finetuned Language Models. arXiv preprint arXiv:2210.11416.</w:t>
      </w:r>
    </w:p>
    <w:p w14:paraId="244D2FDF" w14:textId="77777777" w:rsidR="00871DD7" w:rsidRDefault="00000000">
      <w:pPr>
        <w:ind w:left="720" w:hanging="720"/>
        <w:jc w:val="both"/>
      </w:pPr>
      <w:r>
        <w:rPr>
          <w:b/>
        </w:rPr>
        <w:t xml:space="preserve">[7] </w:t>
      </w:r>
      <w:r>
        <w:t>Johnson, J., Douze, M., &amp; Jégou, H. (2019). Billion-scale Similarity Search with GPUs. IEEE Transactions on Big Data, 7(3), 535-547.</w:t>
      </w:r>
    </w:p>
    <w:p w14:paraId="40324246" w14:textId="77777777" w:rsidR="00871DD7" w:rsidRDefault="00000000">
      <w:pPr>
        <w:ind w:left="720" w:hanging="720"/>
        <w:jc w:val="both"/>
      </w:pPr>
      <w:r>
        <w:rPr>
          <w:b/>
        </w:rPr>
        <w:t xml:space="preserve">[8] </w:t>
      </w:r>
      <w:r>
        <w:t>Reimers, N., &amp; Gurevych, I. (2019). Sentence-BERT: Sentence Embeddings using Siamese BERT-Networks. Proceedings of the 2019 Conference on Empirical Methods in Natural Language Processing and the 9th International Joint Conference on Natural Language Processing (EMNLP-IJCNLP), 3982-3992.</w:t>
      </w:r>
    </w:p>
    <w:p w14:paraId="63253D1C" w14:textId="77777777" w:rsidR="00871DD7" w:rsidRDefault="00000000">
      <w:pPr>
        <w:ind w:left="720" w:hanging="720"/>
        <w:jc w:val="both"/>
      </w:pPr>
      <w:r>
        <w:rPr>
          <w:b/>
        </w:rPr>
        <w:t xml:space="preserve">[9] </w:t>
      </w:r>
      <w:r>
        <w:t>Lin, C. Y. (2004). ROUGE: A Package for Automatic Evaluation of Summaries. Text Summarization Branches Out, 74-81.</w:t>
      </w:r>
    </w:p>
    <w:p w14:paraId="26A65887" w14:textId="77777777" w:rsidR="00871DD7" w:rsidRDefault="00000000">
      <w:pPr>
        <w:ind w:left="720" w:hanging="720"/>
        <w:jc w:val="both"/>
      </w:pPr>
      <w:r>
        <w:rPr>
          <w:b/>
        </w:rPr>
        <w:t xml:space="preserve">[10] </w:t>
      </w:r>
      <w:r>
        <w:t>Papineni, K., et al. (2002). BLEU: A Method for Automatic Evaluation of Machine Translation. Proceedings of the 40th Annual Meeting of the Association for Computational Linguistics, 311-318.</w:t>
      </w:r>
    </w:p>
    <w:p w14:paraId="569F0876" w14:textId="77777777" w:rsidR="00871DD7" w:rsidRDefault="00000000">
      <w:pPr>
        <w:ind w:left="720" w:hanging="720"/>
        <w:jc w:val="both"/>
      </w:pPr>
      <w:r>
        <w:rPr>
          <w:b/>
        </w:rPr>
        <w:t xml:space="preserve">[11] </w:t>
      </w:r>
      <w:r>
        <w:t>Wolf, T., et al. (2020). Transformers: State-of-the-Art Natural Language Processing. Proceedings of the 2020 Conference on Empirical Methods in Natural Language Processing: System Demonstrations, 38-45.</w:t>
      </w:r>
    </w:p>
    <w:p w14:paraId="2E147368" w14:textId="77777777" w:rsidR="00871DD7" w:rsidRDefault="00000000">
      <w:pPr>
        <w:ind w:left="720" w:hanging="720"/>
        <w:jc w:val="both"/>
      </w:pPr>
      <w:r>
        <w:rPr>
          <w:b/>
        </w:rPr>
        <w:t xml:space="preserve">[12] </w:t>
      </w:r>
      <w:r>
        <w:t>Paszke, A., et al. (2019). PyTorch: An Imperative Style, High-Performance Deep Learning Library. Advances in Neural Information Processing Systems, 32.</w:t>
      </w:r>
    </w:p>
    <w:p w14:paraId="619C1CC5" w14:textId="77777777" w:rsidR="00871DD7" w:rsidRDefault="00000000">
      <w:r>
        <w:br w:type="page"/>
      </w:r>
    </w:p>
    <w:p w14:paraId="3D08900D" w14:textId="77777777" w:rsidR="00871DD7" w:rsidRDefault="00000000">
      <w:pPr>
        <w:pStyle w:val="Heading1"/>
      </w:pPr>
      <w:r>
        <w:lastRenderedPageBreak/>
        <w:t>Appendix A: Sample Model Outputs</w:t>
      </w:r>
    </w:p>
    <w:p w14:paraId="0C8B1E70" w14:textId="77777777" w:rsidR="00871DD7" w:rsidRDefault="00000000">
      <w:pPr>
        <w:pStyle w:val="Heading2"/>
      </w:pPr>
      <w:r>
        <w:t>Sample 1</w:t>
      </w:r>
    </w:p>
    <w:p w14:paraId="501B6EC0" w14:textId="77777777" w:rsidR="00871DD7" w:rsidRDefault="00000000">
      <w:r>
        <w:rPr>
          <w:b/>
        </w:rPr>
        <w:t xml:space="preserve">Question: </w:t>
      </w:r>
      <w:r>
        <w:t>Production issue: Slow query performance in RDS PostgreSQL</w:t>
      </w:r>
    </w:p>
    <w:p w14:paraId="4774A134" w14:textId="77777777" w:rsidR="00871DD7" w:rsidRDefault="00000000">
      <w:pPr>
        <w:jc w:val="both"/>
      </w:pPr>
      <w:r>
        <w:rPr>
          <w:b/>
        </w:rPr>
        <w:t xml:space="preserve">Generated Response: </w:t>
      </w:r>
      <w:r>
        <w:t>Slow queries impact application performance. Diagnostic approach: 1) Enable pg_stat_statements extension, 2) Identify slow queries using performance monitoring, 3) Analyze query plan with EXPLAIN ANALYZE, 4) Look for sequential scans on large tables, 5) Check for missing indexes. Resolution: Add indexes on columns used in WHERE clauses. Monitor with CloudWatch metrics. Implement materialized views for complex queries. Set up Performance Insights for detailed analysis.</w:t>
      </w:r>
    </w:p>
    <w:p w14:paraId="60591F7B" w14:textId="77777777" w:rsidR="00871DD7" w:rsidRDefault="00871DD7"/>
    <w:p w14:paraId="5619987C" w14:textId="77777777" w:rsidR="00871DD7" w:rsidRDefault="00000000">
      <w:pPr>
        <w:pStyle w:val="Heading2"/>
      </w:pPr>
      <w:r>
        <w:t>Sample 2</w:t>
      </w:r>
    </w:p>
    <w:p w14:paraId="2EFBAEFB" w14:textId="77777777" w:rsidR="00871DD7" w:rsidRDefault="00000000">
      <w:r>
        <w:rPr>
          <w:b/>
        </w:rPr>
        <w:t xml:space="preserve">Question: </w:t>
      </w:r>
      <w:r>
        <w:t>Authorization missing for company code 1000</w:t>
      </w:r>
    </w:p>
    <w:p w14:paraId="0874962C" w14:textId="77777777" w:rsidR="00871DD7" w:rsidRDefault="00000000">
      <w:pPr>
        <w:jc w:val="both"/>
      </w:pPr>
      <w:r>
        <w:rPr>
          <w:b/>
        </w:rPr>
        <w:t xml:space="preserve">Generated Response: </w:t>
      </w:r>
      <w:r>
        <w:t>SAP authorization error indicates user lacks permission. Resolution: 1) Check missing authorizations using SU53 (must run immediately after error), 2) Identify authorization object causing issue (typically F_BKPF_BUK for company code), 3) Add company code to user authorization profile, 4) Assign appropriate role using PFCG, 5) Test authorization after changes. Authorization must be maintained based on business logic and user responsibilities.</w:t>
      </w:r>
    </w:p>
    <w:p w14:paraId="7BB1D84B" w14:textId="77777777" w:rsidR="00871DD7" w:rsidRDefault="00871DD7"/>
    <w:p w14:paraId="70C3ABEE" w14:textId="77777777" w:rsidR="00871DD7" w:rsidRDefault="00000000">
      <w:pPr>
        <w:pStyle w:val="Heading2"/>
      </w:pPr>
      <w:r>
        <w:t>Sample 3</w:t>
      </w:r>
    </w:p>
    <w:p w14:paraId="1DA7BEE0" w14:textId="77777777" w:rsidR="00871DD7" w:rsidRDefault="00000000">
      <w:r>
        <w:rPr>
          <w:b/>
        </w:rPr>
        <w:t xml:space="preserve">Question: </w:t>
      </w:r>
      <w:r>
        <w:t>How to add interface mapping for Cost Center TRADE456?</w:t>
      </w:r>
    </w:p>
    <w:p w14:paraId="47526321" w14:textId="77777777" w:rsidR="00871DD7" w:rsidRDefault="00000000">
      <w:pPr>
        <w:jc w:val="both"/>
      </w:pPr>
      <w:r>
        <w:rPr>
          <w:b/>
        </w:rPr>
        <w:t xml:space="preserve">Generated Response: </w:t>
      </w:r>
      <w:r>
        <w:t>This is a data setup problem in the Interface Mapping widget. To add cost center mapping: 1) Login to Web UI, 2) Navigate to Interface Mappings widget, 3) Select Cost Center mapping type, 4) Click Add New Mapping, 5) Enter CTRM Cost Center code, 6) Enter SAP Cost Center code, 7) Choose Business Unit, 8) Save configuration. Verify the mapping by testing with an example trade. When adding new cost centers, ensure corresponding GL accounts exist.</w:t>
      </w:r>
    </w:p>
    <w:p w14:paraId="3EB1B4F7" w14:textId="77777777" w:rsidR="00871DD7" w:rsidRDefault="00871DD7"/>
    <w:sectPr w:rsidR="00871DD7"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FF6F2" w14:textId="77777777" w:rsidR="00A36BCF" w:rsidRDefault="00A36BCF">
      <w:pPr>
        <w:spacing w:after="0" w:line="240" w:lineRule="auto"/>
      </w:pPr>
      <w:r>
        <w:separator/>
      </w:r>
    </w:p>
  </w:endnote>
  <w:endnote w:type="continuationSeparator" w:id="0">
    <w:p w14:paraId="39100411" w14:textId="77777777" w:rsidR="00A36BCF" w:rsidRDefault="00A36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676B" w14:textId="77777777" w:rsidR="00871DD7" w:rsidRDefault="00000000">
    <w:pPr>
      <w:pStyle w:val="Footer"/>
      <w:jc w:val="center"/>
    </w:pPr>
    <w:r>
      <w:fldChar w:fldCharType="begin"/>
    </w:r>
    <w:r>
      <w:instrText>PAGE</w:instrText>
    </w:r>
    <w:r w:rsidR="00103B4D">
      <w:fldChar w:fldCharType="separate"/>
    </w:r>
    <w:r w:rsidR="00103B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5A809" w14:textId="77777777" w:rsidR="00A36BCF" w:rsidRDefault="00A36BCF">
      <w:pPr>
        <w:spacing w:after="0" w:line="240" w:lineRule="auto"/>
      </w:pPr>
      <w:r>
        <w:separator/>
      </w:r>
    </w:p>
  </w:footnote>
  <w:footnote w:type="continuationSeparator" w:id="0">
    <w:p w14:paraId="30D1CF0A" w14:textId="77777777" w:rsidR="00A36BCF" w:rsidRDefault="00A36B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5318087">
    <w:abstractNumId w:val="8"/>
  </w:num>
  <w:num w:numId="2" w16cid:durableId="49696847">
    <w:abstractNumId w:val="6"/>
  </w:num>
  <w:num w:numId="3" w16cid:durableId="1664115516">
    <w:abstractNumId w:val="5"/>
  </w:num>
  <w:num w:numId="4" w16cid:durableId="197016422">
    <w:abstractNumId w:val="4"/>
  </w:num>
  <w:num w:numId="5" w16cid:durableId="267201716">
    <w:abstractNumId w:val="7"/>
  </w:num>
  <w:num w:numId="6" w16cid:durableId="1565869285">
    <w:abstractNumId w:val="3"/>
  </w:num>
  <w:num w:numId="7" w16cid:durableId="595938468">
    <w:abstractNumId w:val="2"/>
  </w:num>
  <w:num w:numId="8" w16cid:durableId="506292651">
    <w:abstractNumId w:val="1"/>
  </w:num>
  <w:num w:numId="9" w16cid:durableId="168959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B4D"/>
    <w:rsid w:val="00136419"/>
    <w:rsid w:val="0015074B"/>
    <w:rsid w:val="00164B1A"/>
    <w:rsid w:val="00202526"/>
    <w:rsid w:val="002418B1"/>
    <w:rsid w:val="0029639D"/>
    <w:rsid w:val="00326F90"/>
    <w:rsid w:val="003F55D8"/>
    <w:rsid w:val="00546BEB"/>
    <w:rsid w:val="00712FCF"/>
    <w:rsid w:val="00714F50"/>
    <w:rsid w:val="00871DD7"/>
    <w:rsid w:val="008732BB"/>
    <w:rsid w:val="00A36BCF"/>
    <w:rsid w:val="00AA1D8D"/>
    <w:rsid w:val="00B47730"/>
    <w:rsid w:val="00CB0664"/>
    <w:rsid w:val="00D51E94"/>
    <w:rsid w:val="00E33D1A"/>
    <w:rsid w:val="00E3755E"/>
    <w:rsid w:val="00E459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0FB67"/>
  <w14:defaultImageDpi w14:val="300"/>
  <w15:docId w15:val="{DD8FCEA2-EAD4-4DAC-9FBB-7D6510389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21</Pages>
  <Words>4862</Words>
  <Characters>27714</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Bhagat</cp:lastModifiedBy>
  <cp:revision>14</cp:revision>
  <dcterms:created xsi:type="dcterms:W3CDTF">2026-03-20T08:13:00Z</dcterms:created>
  <dcterms:modified xsi:type="dcterms:W3CDTF">2026-03-20T08:33:00Z</dcterms:modified>
  <cp:category/>
</cp:coreProperties>
</file>