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0b0b"/>
          <w:sz w:val="40"/>
          <w:szCs w:val="40"/>
        </w:rPr>
        <w:t xml:space="preserve">Learning Responsible AI &amp; Machine Learning</w:t>
      </w:r>
    </w:p>
    <w:p>
      <w:pPr>
        <w:spacing w:after="40"/>
      </w:pPr>
      <w:r>
        <w:rPr>
          <w:color w:val="2a78d6"/>
          <w:sz w:val="26"/>
          <w:szCs w:val="26"/>
        </w:rPr>
        <w:t xml:space="preserve">A Beginner's Study Guide, Built Around Your Credit-Scoring Project</w:t>
      </w:r>
    </w:p>
    <w:p>
      <w:pPr>
        <w:pBdr>
          <w:bottom w:val="single" w:color="2a78d6" w:sz="6" w:space="6"/>
        </w:pBdr>
        <w:spacing w:after="200"/>
      </w:pPr>
      <w:r>
        <w:rPr>
          <w:i/>
          <w:iCs/>
          <w:color w:val="52514e"/>
          <w:sz w:val="20"/>
          <w:szCs w:val="20"/>
        </w:rPr>
        <w:t xml:space="preserve">German Credit Dataset · Responsible AI project companion</w:t>
      </w:r>
    </w:p>
    <w:p>
      <w:pPr>
        <w:spacing w:after="120" w:line="276"/>
      </w:pPr>
      <w:r>
        <w:rPr>
          <w:b/>
          <w:bCs/>
          <w:color w:val="0b0b0b"/>
        </w:rPr>
        <w:t xml:space="preserve">The core idea: your project is your syllabus. </w:t>
      </w:r>
      <w:r>
        <w:rPr>
          <w:color w:val="0b0b0b"/>
        </w:rPr>
        <w:t xml:space="preserve">Most people learn machine learning from toy examples. You already have a complete, real project — so the fastest way to learn is to work </w:t>
      </w:r>
      <w:r>
        <w:rPr>
          <w:i/>
          <w:iCs/>
          <w:color w:val="0b0b0b"/>
        </w:rPr>
        <w:t xml:space="preserve">outward from what you already built</w:t>
      </w:r>
      <w:r>
        <w:rPr>
          <w:color w:val="0b0b0b"/>
        </w:rPr>
        <w:t xml:space="preserve">, not from scratch. For each concept below, find where it lives in your code, then learn just enough to explain that piece out loud.</w:t>
      </w:r>
    </w:p>
    <w:p>
      <w:pPr>
        <w:spacing w:after="160"/>
      </w:pPr>
      <w:sdt>
        <w:sdtPr>
          <w:alias w:val="Contents"/>
        </w:sdtPr>
        <w:sdtContent>
          <w:p>
            <w:r>
              <w:fldChar w:fldCharType="begin" w:dirty="true"/>
              <w:instrText xml:space="preserve">TOC \h \o "1-2"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r>
        <w:br w:type="page"/>
      </w:r>
    </w:p>
    <w:p>
      <w:pPr>
        <w:pStyle w:val="Heading1"/>
        <w:spacing w:after="120" w:before="280"/>
      </w:pPr>
      <w:r>
        <w:t xml:space="preserve">1. The Learning Roadmap (in order)</w:t>
      </w:r>
    </w:p>
    <w:p>
      <w:pPr>
        <w:spacing w:after="120" w:line="276"/>
      </w:pPr>
      <w:r>
        <w:rPr>
          <w:color w:val="0b0b0b"/>
        </w:rPr>
        <w:t xml:space="preserve">Work through these six layers in sequence — each builds on the one before. The right-hand column tells you which file in your own project puts that concept to work, so you always have a concrete example to anchor the theory.</w:t>
      </w:r>
    </w:p>
    <w:tbl>
      <w:tblPr>
        <w:tblW w:type="dxa" w:w="6500"/>
        <w:tblBorders>
          <w:top w:val="single" w:color="d9d9d6" w:sz="2"/>
          <w:left w:val="single" w:color="d9d9d6" w:sz="2"/>
          <w:bottom w:val="single" w:color="d9d9d6" w:sz="2"/>
          <w:right w:val="single" w:color="d9d9d6" w:sz="2"/>
          <w:insideH w:val="single" w:color="d9d9d6" w:sz="2"/>
          <w:insideV w:val="single" w:color="d9d9d6" w:sz="2"/>
        </w:tblBorders>
      </w:tblPr>
      <w:tblGrid>
        <w:gridCol w:w="900"/>
        <w:gridCol w:w="3400"/>
        <w:gridCol w:w="2200"/>
      </w:tblGrid>
      <w:tr>
        <w:trPr>
          <w:tblHeader/>
        </w:trPr>
        <w:tc>
          <w:tcPr>
            <w:tcW w:type="dxa" w:w="900"/>
            <w:shd w:fill="eef4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0b0b0b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shd w:fill="eef4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0b0b0b"/>
                <w:sz w:val="20"/>
                <w:szCs w:val="20"/>
              </w:rPr>
              <w:t xml:space="preserve">What to learn</w:t>
            </w:r>
          </w:p>
        </w:tc>
        <w:tc>
          <w:tcPr>
            <w:tcW w:type="dxa" w:w="2200"/>
            <w:shd w:fill="eef4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0b0b0b"/>
                <w:sz w:val="20"/>
                <w:szCs w:val="20"/>
              </w:rPr>
              <w:t xml:space="preserve">Your file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0b0b0b"/>
                <w:sz w:val="20"/>
                <w:szCs w:val="20"/>
              </w:rPr>
              <w:t xml:space="preserve">1. ML fundamentals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color w:val="52514e"/>
                <w:sz w:val="20"/>
                <w:szCs w:val="20"/>
              </w:rPr>
              <w:t xml:space="preserve">Train/test split, overfitting, cross-validation; what Decision Trees, Random Forests and Logistic Regression actually do.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a78d6"/>
                <w:sz w:val="20"/>
                <w:szCs w:val="20"/>
              </w:rPr>
              <w:t xml:space="preserve">train_baseline.py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0b0b0b"/>
                <w:sz w:val="20"/>
                <w:szCs w:val="20"/>
              </w:rPr>
              <w:t xml:space="preserve">2. Evaluation &amp; imbalance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color w:val="52514e"/>
                <w:sz w:val="20"/>
                <w:szCs w:val="20"/>
              </w:rPr>
              <w:t xml:space="preserve">Precision, recall, F1, confusion matrix, ROC/AUC; class imbalance and cost-sensitive learning (why accuracy is a trap).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a78d6"/>
                <w:sz w:val="20"/>
                <w:szCs w:val="20"/>
              </w:rPr>
              <w:t xml:space="preserve">train_baseline.py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0b0b0b"/>
                <w:sz w:val="20"/>
                <w:szCs w:val="20"/>
              </w:rPr>
              <w:t xml:space="preserve">3. Fairness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color w:val="52514e"/>
                <w:sz w:val="20"/>
                <w:szCs w:val="20"/>
              </w:rPr>
              <w:t xml:space="preserve">Disparate impact / 80% rule, demographic parity, equal opportunity, equalized odds.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a78d6"/>
                <w:sz w:val="20"/>
                <w:szCs w:val="20"/>
              </w:rPr>
              <w:t xml:space="preserve">fairness_audit.py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0b0b0b"/>
                <w:sz w:val="20"/>
                <w:szCs w:val="20"/>
              </w:rPr>
              <w:t xml:space="preserve">4. Explainability (XAI)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color w:val="52514e"/>
                <w:sz w:val="20"/>
                <w:szCs w:val="20"/>
              </w:rPr>
              <w:t xml:space="preserve">Feature importance; SHAP values; global vs local explanations.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a78d6"/>
                <w:sz w:val="20"/>
                <w:szCs w:val="20"/>
              </w:rPr>
              <w:t xml:space="preserve">explainability.py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0b0b0b"/>
                <w:sz w:val="20"/>
                <w:szCs w:val="20"/>
              </w:rPr>
              <w:t xml:space="preserve">5. Regulation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color w:val="52514e"/>
                <w:sz w:val="20"/>
                <w:szCs w:val="20"/>
              </w:rPr>
              <w:t xml:space="preserve">EU AI Act risk tiers; GDPR Article 22 right to explanation.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a78d6"/>
                <w:sz w:val="20"/>
                <w:szCs w:val="20"/>
              </w:rPr>
              <w:t xml:space="preserve">REGULATORY_ANALYSIS.md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0b0b0b"/>
                <w:sz w:val="20"/>
                <w:szCs w:val="20"/>
              </w:rPr>
              <w:t xml:space="preserve">6. Advanced (optional)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color w:val="52514e"/>
                <w:sz w:val="20"/>
                <w:szCs w:val="20"/>
              </w:rPr>
              <w:t xml:space="preserve">Adversarial ML (poisoning, evasion, privacy); software testing with pytest.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a78d6"/>
                <w:sz w:val="20"/>
                <w:szCs w:val="20"/>
              </w:rPr>
              <w:t xml:space="preserve">adversarial.py · tests/</w:t>
            </w:r>
          </w:p>
        </w:tc>
      </w:tr>
    </w:tbl>
    <w:p>
      <w:pPr>
        <w:pStyle w:val="Heading1"/>
        <w:spacing w:after="120" w:before="280"/>
      </w:pPr>
      <w:r>
        <w:t xml:space="preserve">2. Best Resources for Each Layer</w:t>
      </w:r>
    </w:p>
    <w:p>
      <w:pPr>
        <w:pStyle w:val="Heading2"/>
        <w:spacing w:after="100" w:before="220"/>
      </w:pPr>
      <w:r>
        <w:t xml:space="preserve">Layer 1 &amp; 2 — ML fundamentals + evaluation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0b0b0b"/>
        </w:rPr>
        <w:t xml:space="preserve">StatQuest with Josh Starmer</w:t>
      </w:r>
      <w:r>
        <w:rPr>
          <w:color w:val="0b0b0b"/>
        </w:rPr>
        <w:t xml:space="preserve"> (YouTube) — the clearest beginner explanations anywhere. Watch: Decision Trees, Random Forests, ROC and AUC, Cross-Validation, Confusion Matrix. These cover your exact three models.</w:t>
      </w:r>
    </w:p>
    <w:p>
      <w:pPr>
        <w:pStyle w:val="ListParagraph"/>
        <w:numPr>
          <w:ilvl w:val="0"/>
          <w:numId w:val="2"/>
        </w:numPr>
        <w:spacing w:after="80" w:line="272"/>
      </w:pPr>
      <w:hyperlink w:history="1" r:id="rIda3ty8tkytatlw-ydfr-un">
        <w:r>
          <w:rPr>
            <w:rStyle w:val="Hyperlink"/>
            <w:color w:val="2a78d6"/>
            <w:u w:val="single"/>
          </w:rPr>
          <w:t xml:space="preserve">youtube.com/c/joshstarmer</w:t>
        </w:r>
      </w:hyperlink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0b0b0b"/>
        </w:rPr>
        <w:t xml:space="preserve">scikit-learn metrics guide</w:t>
      </w:r>
      <w:r>
        <w:rPr>
          <w:color w:val="0b0b0b"/>
        </w:rPr>
        <w:t xml:space="preserve"> — the reference for precision/recall/F1/AUC.</w:t>
      </w:r>
    </w:p>
    <w:p>
      <w:pPr>
        <w:pStyle w:val="ListParagraph"/>
        <w:numPr>
          <w:ilvl w:val="0"/>
          <w:numId w:val="2"/>
        </w:numPr>
        <w:spacing w:after="80" w:line="272"/>
      </w:pPr>
      <w:hyperlink w:history="1" r:id="rId-nik7xipt6xxsbjdf7ztw">
        <w:r>
          <w:rPr>
            <w:rStyle w:val="Hyperlink"/>
            <w:color w:val="2a78d6"/>
            <w:u w:val="single"/>
          </w:rPr>
          <w:t xml:space="preserve">scikit-learn.org/stable/modules/model_evaluation.html</w:t>
        </w:r>
      </w:hyperlink>
    </w:p>
    <w:p>
      <w:pPr>
        <w:pStyle w:val="Heading2"/>
        <w:spacing w:after="100" w:before="220"/>
      </w:pPr>
      <w:r>
        <w:t xml:space="preserve">Layer 3 — Fairness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0b0b0b"/>
        </w:rPr>
        <w:t xml:space="preserve">Fairness and Machine Learning</w:t>
      </w:r>
      <w:r>
        <w:rPr>
          <w:color w:val="0b0b0b"/>
        </w:rPr>
        <w:t xml:space="preserve"> (free online book) by Barocas, Hardt &amp; Narayanan — read the intro chapters.</w:t>
      </w:r>
    </w:p>
    <w:p>
      <w:pPr>
        <w:pStyle w:val="ListParagraph"/>
        <w:numPr>
          <w:ilvl w:val="0"/>
          <w:numId w:val="2"/>
        </w:numPr>
        <w:spacing w:after="80" w:line="272"/>
      </w:pPr>
      <w:hyperlink w:history="1" r:id="rIdueiwdadso88aqile5r7di">
        <w:r>
          <w:rPr>
            <w:rStyle w:val="Hyperlink"/>
            <w:color w:val="2a78d6"/>
            <w:u w:val="single"/>
          </w:rPr>
          <w:t xml:space="preserve">fairmlbook.org</w:t>
        </w:r>
      </w:hyperlink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0b0b0b"/>
        </w:rPr>
        <w:t xml:space="preserve">Fairlearn user guide</w:t>
      </w:r>
      <w:r>
        <w:rPr>
          <w:color w:val="0b0b0b"/>
        </w:rPr>
        <w:t xml:space="preserve"> — explains disparate impact, equal opportunity and equalized odds in plain language, with code.</w:t>
      </w:r>
    </w:p>
    <w:p>
      <w:pPr>
        <w:pStyle w:val="ListParagraph"/>
        <w:numPr>
          <w:ilvl w:val="0"/>
          <w:numId w:val="2"/>
        </w:numPr>
        <w:spacing w:after="80" w:line="272"/>
      </w:pPr>
      <w:hyperlink w:history="1" r:id="rIdr_xodlpotfy9ckwgpj7ui">
        <w:r>
          <w:rPr>
            <w:rStyle w:val="Hyperlink"/>
            <w:color w:val="2a78d6"/>
            <w:u w:val="single"/>
          </w:rPr>
          <w:t xml:space="preserve">fairlearn.org/main/user_guide</w:t>
        </w:r>
      </w:hyperlink>
    </w:p>
    <w:p>
      <w:pPr>
        <w:pStyle w:val="Heading2"/>
        <w:spacing w:after="100" w:before="220"/>
      </w:pPr>
      <w:r>
        <w:t xml:space="preserve">Layer 4 — Explainability / XAI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0b0b0b"/>
        </w:rPr>
        <w:t xml:space="preserve">Interpretable Machine Learning</w:t>
      </w:r>
      <w:r>
        <w:rPr>
          <w:color w:val="0b0b0b"/>
        </w:rPr>
        <w:t xml:space="preserve"> (free online book) by Christoph Molnar — read the SHAP chapter. This is the standard reference and very readable.</w:t>
      </w:r>
    </w:p>
    <w:p>
      <w:pPr>
        <w:pStyle w:val="ListParagraph"/>
        <w:numPr>
          <w:ilvl w:val="0"/>
          <w:numId w:val="2"/>
        </w:numPr>
        <w:spacing w:after="80" w:line="272"/>
      </w:pPr>
      <w:hyperlink w:history="1" r:id="rIdxxud9xmmxownagga44kk3">
        <w:r>
          <w:rPr>
            <w:rStyle w:val="Hyperlink"/>
            <w:color w:val="2a78d6"/>
            <w:u w:val="single"/>
          </w:rPr>
          <w:t xml:space="preserve">christophm.github.io/interpretable-ml-book</w:t>
        </w:r>
      </w:hyperlink>
    </w:p>
    <w:p>
      <w:pPr>
        <w:pStyle w:val="Heading2"/>
        <w:spacing w:after="100" w:before="220"/>
      </w:pPr>
      <w:r>
        <w:t xml:space="preserve">Layer 5 — Regulation &amp; Responsible AI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0b0b0b"/>
        </w:rPr>
        <w:t xml:space="preserve">EU AI Act Explorer</w:t>
      </w:r>
      <w:r>
        <w:rPr>
          <w:color w:val="0b0b0b"/>
        </w:rPr>
        <w:t xml:space="preserve"> — searchable, plain-language. Look up Annex III (high-risk uses) and Articles 9–15.</w:t>
      </w:r>
    </w:p>
    <w:p>
      <w:pPr>
        <w:pStyle w:val="ListParagraph"/>
        <w:numPr>
          <w:ilvl w:val="0"/>
          <w:numId w:val="2"/>
        </w:numPr>
        <w:spacing w:after="80" w:line="272"/>
      </w:pPr>
      <w:hyperlink w:history="1" r:id="rId_ccjbfcn_nmju2xnoaj6q">
        <w:r>
          <w:rPr>
            <w:rStyle w:val="Hyperlink"/>
            <w:color w:val="2a78d6"/>
            <w:u w:val="single"/>
          </w:rPr>
          <w:t xml:space="preserve">artificialintelligenceact.eu</w:t>
        </w:r>
      </w:hyperlink>
    </w:p>
    <w:p>
      <w:pPr>
        <w:pStyle w:val="Heading2"/>
        <w:spacing w:after="100" w:before="220"/>
      </w:pPr>
      <w:r>
        <w:t xml:space="preserve">Layer 6 — Advanced (optional)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0b0b0b"/>
        </w:rPr>
        <w:t xml:space="preserve">NIST Adversarial ML taxonomy</w:t>
      </w:r>
      <w:r>
        <w:rPr>
          <w:color w:val="0b0b0b"/>
        </w:rPr>
        <w:t xml:space="preserve"> — skim for the threat vocabulary (poisoning, evasion, membership inference).</w:t>
      </w:r>
    </w:p>
    <w:p>
      <w:pPr>
        <w:pStyle w:val="ListParagraph"/>
        <w:numPr>
          <w:ilvl w:val="0"/>
          <w:numId w:val="2"/>
        </w:numPr>
        <w:spacing w:after="80" w:line="272"/>
      </w:pPr>
      <w:hyperlink w:history="1" r:id="rIdt6h53lwb5l5z2swcp0uf1">
        <w:r>
          <w:rPr>
            <w:rStyle w:val="Hyperlink"/>
            <w:color w:val="2a78d6"/>
            <w:u w:val="single"/>
          </w:rPr>
          <w:t xml:space="preserve">csrc.nist.gov — Adversarial ML</w:t>
        </w:r>
      </w:hyperlink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0b0b0b"/>
        </w:rPr>
        <w:t xml:space="preserve">pytest docs</w:t>
      </w:r>
      <w:r>
        <w:rPr>
          <w:color w:val="0b0b0b"/>
        </w:rPr>
        <w:t xml:space="preserve"> — the getting-started guide, for how your tests work.</w:t>
      </w:r>
    </w:p>
    <w:p>
      <w:pPr>
        <w:pStyle w:val="ListParagraph"/>
        <w:numPr>
          <w:ilvl w:val="0"/>
          <w:numId w:val="2"/>
        </w:numPr>
        <w:spacing w:after="80" w:line="272"/>
      </w:pPr>
      <w:hyperlink w:history="1" r:id="rIdxoaziyfdota7typuihjhi">
        <w:r>
          <w:rPr>
            <w:rStyle w:val="Hyperlink"/>
            <w:color w:val="2a78d6"/>
            <w:u w:val="single"/>
          </w:rPr>
          <w:t xml:space="preserve">docs.pytest.org</w:t>
        </w:r>
      </w:hyperlink>
    </w:p>
    <w:p>
      <w:r>
        <w:br w:type="page"/>
      </w:r>
    </w:p>
    <w:p>
      <w:pPr>
        <w:pStyle w:val="Heading1"/>
        <w:spacing w:after="120" w:before="280"/>
      </w:pPr>
      <w:r>
        <w:t xml:space="preserve">3. The Study Method That Actually Works</w:t>
      </w:r>
    </w:p>
    <w:p>
      <w:pPr>
        <w:spacing w:after="120" w:line="276"/>
      </w:pPr>
      <w:r>
        <w:rPr>
          <w:color w:val="0b0b0b"/>
        </w:rPr>
        <w:t xml:space="preserve">Passive watching does not stick. Do this instead, one file at a time: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b/>
          <w:bCs/>
          <w:color w:val="0b0b0b"/>
        </w:rPr>
        <w:t xml:space="preserve">Watch or read</w:t>
      </w:r>
      <w:r>
        <w:rPr>
          <w:color w:val="0b0b0b"/>
        </w:rPr>
        <w:t xml:space="preserve"> the resource for that file's topic (above).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b/>
          <w:bCs/>
          <w:color w:val="0b0b0b"/>
        </w:rPr>
        <w:t xml:space="preserve">Run</w:t>
      </w:r>
      <w:r>
        <w:rPr>
          <w:color w:val="0b0b0b"/>
        </w:rPr>
        <w:t xml:space="preserve"> the file and read its output carefully.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b/>
          <w:bCs/>
          <w:color w:val="0b0b0b"/>
        </w:rPr>
        <w:t xml:space="preserve">Break it on purpose</w:t>
      </w:r>
      <w:r>
        <w:rPr>
          <w:color w:val="0b0b0b"/>
        </w:rPr>
        <w:t xml:space="preserve"> — change one thing (e.g. remove class_weight="balanced", or set n_estimators=300 to 10) and watch how the numbers move. This is where understanding clicks.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rPr>
          <w:b/>
          <w:bCs/>
          <w:color w:val="0b0b0b"/>
        </w:rPr>
        <w:t xml:space="preserve">Explain it out loud</w:t>
      </w:r>
      <w:r>
        <w:rPr>
          <w:color w:val="0b0b0b"/>
        </w:rPr>
        <w:t xml:space="preserve"> as if teaching someone. If you can't, you've found your next gap.</w:t>
      </w:r>
    </w:p>
    <w:p>
      <w:pPr>
        <w:spacing w:after="120" w:line="276"/>
      </w:pPr>
      <w:r>
        <w:rPr>
          <w:i/>
          <w:iCs/>
          <w:color w:val="52514e"/>
        </w:rPr>
        <w:t xml:space="preserve">You have a safe sandbox to experiment in — that is a huge advantage most learners don't get.</w:t>
      </w:r>
    </w:p>
    <w:p>
      <w:pPr>
        <w:pStyle w:val="Heading1"/>
        <w:spacing w:after="120" w:before="280"/>
      </w:pPr>
      <w:r>
        <w:t xml:space="preserve">4. Prioritise for Your Timeline</w:t>
      </w:r>
    </w:p>
    <w:p>
      <w:pPr>
        <w:spacing w:after="120" w:line="276"/>
      </w:pPr>
      <w:r>
        <w:rPr>
          <w:color w:val="0b0b0b"/>
        </w:rPr>
        <w:t xml:space="preserve">The final presentation is on 24 July, so split your effort:</w:t>
      </w:r>
    </w:p>
    <w:tbl>
      <w:tblPr>
        <w:tblW w:type="dxa" w:w="6500"/>
        <w:tblBorders>
          <w:top w:val="single" w:color="d9d9d6" w:sz="2"/>
          <w:left w:val="single" w:color="d9d9d6" w:sz="2"/>
          <w:bottom w:val="single" w:color="d9d9d6" w:sz="2"/>
          <w:right w:val="single" w:color="d9d9d6" w:sz="2"/>
          <w:insideH w:val="single" w:color="d9d9d6" w:sz="2"/>
          <w:insideV w:val="single" w:color="d9d9d6" w:sz="2"/>
        </w:tblBorders>
      </w:tblPr>
      <w:tblGrid>
        <w:gridCol w:w="2000"/>
        <w:gridCol w:w="2100"/>
        <w:gridCol w:w="2400"/>
      </w:tblGrid>
      <w:tr>
        <w:trPr>
          <w:tblHeader/>
        </w:trPr>
        <w:tc>
          <w:tcPr>
            <w:tcW w:type="dxa" w:w="2000"/>
            <w:shd w:fill="eef4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0b0b0b"/>
                <w:sz w:val="20"/>
                <w:szCs w:val="20"/>
              </w:rPr>
              <w:t xml:space="preserve">When</w:t>
            </w:r>
          </w:p>
        </w:tc>
        <w:tc>
          <w:tcPr>
            <w:tcW w:type="dxa" w:w="2100"/>
            <w:shd w:fill="eef4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0b0b0b"/>
                <w:sz w:val="20"/>
                <w:szCs w:val="20"/>
              </w:rPr>
              <w:t xml:space="preserve">Goal</w:t>
            </w:r>
          </w:p>
        </w:tc>
        <w:tc>
          <w:tcPr>
            <w:tcW w:type="dxa" w:w="2400"/>
            <w:shd w:fill="eef4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0b0b0b"/>
                <w:sz w:val="20"/>
                <w:szCs w:val="20"/>
              </w:rPr>
              <w:t xml:space="preserve">Focus on</w:t>
            </w:r>
          </w:p>
        </w:tc>
      </w:tr>
      <w:tr>
        <w:tc>
          <w:tcPr>
            <w:tcW w:type="dxa" w:w="2000"/>
            <w:shd w:fill="eef4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0b0b0b"/>
                <w:sz w:val="20"/>
                <w:szCs w:val="20"/>
              </w:rPr>
              <w:t xml:space="preserve">This week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color w:val="52514e"/>
                <w:sz w:val="20"/>
                <w:szCs w:val="20"/>
              </w:rPr>
              <w:t xml:space="preserve">Defend the project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color w:val="52514e"/>
                <w:sz w:val="20"/>
                <w:szCs w:val="20"/>
              </w:rPr>
              <w:t xml:space="preserve">Layers 1–2 (StatQuest) + the fairness metric definitions from Layer 3. Covers ~80% of examiner questions.</w:t>
            </w:r>
          </w:p>
        </w:tc>
      </w:tr>
      <w:tr>
        <w:tc>
          <w:tcPr>
            <w:tcW w:type="dxa" w:w="2000"/>
            <w:shd w:fill="eef4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b/>
                <w:bCs/>
                <w:color w:val="0b0b0b"/>
                <w:sz w:val="20"/>
                <w:szCs w:val="20"/>
              </w:rPr>
              <w:t xml:space="preserve">After the deadline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color w:val="52514e"/>
                <w:sz w:val="20"/>
                <w:szCs w:val="20"/>
              </w:rPr>
              <w:t xml:space="preserve">Master the field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color w:val="52514e"/>
                <w:sz w:val="20"/>
                <w:szCs w:val="20"/>
              </w:rPr>
              <w:t xml:space="preserve">Work through Layers 3–5 properly with the free books above.</w:t>
            </w:r>
          </w:p>
        </w:tc>
      </w:tr>
    </w:tbl>
    <w:p>
      <w:pPr>
        <w:spacing w:after="120" w:line="276"/>
      </w:pPr>
      <w:r>
        <w:rPr>
          <w:b/>
          <w:bCs/>
          <w:color w:val="0b0b0b"/>
        </w:rPr>
        <w:t xml:space="preserve">Don't try to learn all six layers before the presentation. </w:t>
      </w:r>
      <w:r>
        <w:rPr>
          <w:color w:val="0b0b0b"/>
        </w:rPr>
        <w:t xml:space="preserve">You only need enough to confidently explain your own choices — and the Q&amp;A prep already scripts most of those answers.</w:t>
      </w:r>
    </w:p>
    <w:p>
      <w:pPr>
        <w:pStyle w:val="Heading1"/>
        <w:spacing w:after="120" w:before="280"/>
      </w:pPr>
      <w:r>
        <w:t xml:space="preserve">A Note of Reassurance</w:t>
      </w:r>
    </w:p>
    <w:p>
      <w:pPr>
        <w:spacing w:after="120" w:line="276"/>
      </w:pPr>
      <w:r>
        <w:rPr>
          <w:color w:val="0b0b0b"/>
        </w:rPr>
        <w:t xml:space="preserve">Feeling "new to this" while presenting a project this complete is completely normal. The project is genuinely ahead of where a beginner usually is — you're learning the theory </w:t>
      </w:r>
      <w:r>
        <w:rPr>
          <w:i/>
          <w:iCs/>
          <w:color w:val="0b0b0b"/>
        </w:rPr>
        <w:t xml:space="preserve">after</w:t>
      </w:r>
      <w:r>
        <w:rPr>
          <w:color w:val="0b0b0b"/>
        </w:rPr>
        <w:t xml:space="preserve"> building the thing, which is honestly a faster way to internalise it. You're not behind; you're doing it in a more effective order.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0b0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</w:pPr>
    <w:rPr>
      <w:b/>
      <w:bCs/>
      <w:color w:val="2a78d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</w:pPr>
    <w:rPr>
      <w:b/>
      <w:bCs/>
      <w:color w:val="0b0b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3ty8tkytatlw-ydfr-un" Type="http://schemas.openxmlformats.org/officeDocument/2006/relationships/hyperlink" Target="https://www.youtube.com/c/joshstarmer" TargetMode="External"/><Relationship Id="rId-nik7xipt6xxsbjdf7ztw" Type="http://schemas.openxmlformats.org/officeDocument/2006/relationships/hyperlink" Target="https://scikit-learn.org/stable/modules/model_evaluation.html" TargetMode="External"/><Relationship Id="rIdueiwdadso88aqile5r7di" Type="http://schemas.openxmlformats.org/officeDocument/2006/relationships/hyperlink" Target="https://fairmlbook.org" TargetMode="External"/><Relationship Id="rIdr_xodlpotfy9ckwgpj7ui" Type="http://schemas.openxmlformats.org/officeDocument/2006/relationships/hyperlink" Target="https://fairlearn.org/main/user_guide/index.html" TargetMode="External"/><Relationship Id="rIdxxud9xmmxownagga44kk3" Type="http://schemas.openxmlformats.org/officeDocument/2006/relationships/hyperlink" Target="https://christophm.github.io/interpretable-ml-book/" TargetMode="External"/><Relationship Id="rId_ccjbfcn_nmju2xnoaj6q" Type="http://schemas.openxmlformats.org/officeDocument/2006/relationships/hyperlink" Target="https://artificialintelligenceact.eu/" TargetMode="External"/><Relationship Id="rIdt6h53lwb5l5z2swcp0uf1" Type="http://schemas.openxmlformats.org/officeDocument/2006/relationships/hyperlink" Target="https://csrc.nist.gov/pubs/ai/100/2/e2023/final" TargetMode="External"/><Relationship Id="rIdxoaziyfdota7typuihjhi" Type="http://schemas.openxmlformats.org/officeDocument/2006/relationships/hyperlink" Target="https://docs.pytest.org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Responsible AI &amp; Machine Learning</dc:title>
  <dc:creator>Study Guide</dc:creator>
  <cp:lastModifiedBy>Un-named</cp:lastModifiedBy>
  <cp:revision>1</cp:revision>
  <dcterms:created xsi:type="dcterms:W3CDTF">2026-07-15T17:35:10.733Z</dcterms:created>
  <dcterms:modified xsi:type="dcterms:W3CDTF">2026-07-15T17:35:10.734Z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